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640" w14:textId="73D85B8A" w:rsidR="00FE067E" w:rsidRPr="00AB4736" w:rsidRDefault="0069085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E3CABF4" wp14:editId="0D16FF0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619E81" w14:textId="548F6F2B" w:rsidR="00690854" w:rsidRPr="00690854" w:rsidRDefault="00690854" w:rsidP="00690854">
                            <w:pPr>
                              <w:spacing w:line="240" w:lineRule="auto"/>
                              <w:jc w:val="center"/>
                              <w:rPr>
                                <w:rFonts w:cs="Arial"/>
                                <w:b/>
                              </w:rPr>
                            </w:pPr>
                            <w:r w:rsidRPr="006908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CABF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7619E81" w14:textId="548F6F2B" w:rsidR="00690854" w:rsidRPr="00690854" w:rsidRDefault="00690854" w:rsidP="00690854">
                      <w:pPr>
                        <w:spacing w:line="240" w:lineRule="auto"/>
                        <w:jc w:val="center"/>
                        <w:rPr>
                          <w:rFonts w:cs="Arial"/>
                          <w:b/>
                        </w:rPr>
                      </w:pPr>
                      <w:r w:rsidRPr="00690854">
                        <w:rPr>
                          <w:rFonts w:cs="Arial"/>
                          <w:b/>
                        </w:rPr>
                        <w:t>FISCAL NOTE</w:t>
                      </w:r>
                    </w:p>
                  </w:txbxContent>
                </v:textbox>
              </v:shape>
            </w:pict>
          </mc:Fallback>
        </mc:AlternateContent>
      </w:r>
      <w:r w:rsidR="003C6034" w:rsidRPr="00AB4736">
        <w:rPr>
          <w:caps w:val="0"/>
          <w:color w:val="auto"/>
        </w:rPr>
        <w:t>WEST VIRGINIA LEGISLATURE</w:t>
      </w:r>
    </w:p>
    <w:p w14:paraId="6F3724ED" w14:textId="77777777" w:rsidR="00CD36CF" w:rsidRPr="00AB4736" w:rsidRDefault="00CD36CF" w:rsidP="00CC1F3B">
      <w:pPr>
        <w:pStyle w:val="TitlePageSession"/>
        <w:rPr>
          <w:color w:val="auto"/>
        </w:rPr>
      </w:pPr>
      <w:r w:rsidRPr="00AB4736">
        <w:rPr>
          <w:color w:val="auto"/>
        </w:rPr>
        <w:t>20</w:t>
      </w:r>
      <w:r w:rsidR="00EC5E63" w:rsidRPr="00AB4736">
        <w:rPr>
          <w:color w:val="auto"/>
        </w:rPr>
        <w:t>2</w:t>
      </w:r>
      <w:r w:rsidR="00B71E6F" w:rsidRPr="00AB4736">
        <w:rPr>
          <w:color w:val="auto"/>
        </w:rPr>
        <w:t>3</w:t>
      </w:r>
      <w:r w:rsidRPr="00AB4736">
        <w:rPr>
          <w:color w:val="auto"/>
        </w:rPr>
        <w:t xml:space="preserve"> </w:t>
      </w:r>
      <w:r w:rsidR="003C6034" w:rsidRPr="00AB4736">
        <w:rPr>
          <w:caps w:val="0"/>
          <w:color w:val="auto"/>
        </w:rPr>
        <w:t>REGULAR SESSION</w:t>
      </w:r>
    </w:p>
    <w:p w14:paraId="319085B8" w14:textId="77777777" w:rsidR="00CD36CF" w:rsidRPr="00AB4736" w:rsidRDefault="00FD366E" w:rsidP="00CC1F3B">
      <w:pPr>
        <w:pStyle w:val="TitlePageBillPrefix"/>
        <w:rPr>
          <w:color w:val="auto"/>
        </w:rPr>
      </w:pPr>
      <w:sdt>
        <w:sdtPr>
          <w:rPr>
            <w:color w:val="auto"/>
          </w:rPr>
          <w:tag w:val="IntroDate"/>
          <w:id w:val="-1236936958"/>
          <w:placeholder>
            <w:docPart w:val="01FDC93921B2496791B49791801E6228"/>
          </w:placeholder>
          <w:text/>
        </w:sdtPr>
        <w:sdtEndPr/>
        <w:sdtContent>
          <w:r w:rsidR="00AE48A0" w:rsidRPr="00AB4736">
            <w:rPr>
              <w:color w:val="auto"/>
            </w:rPr>
            <w:t>Introduced</w:t>
          </w:r>
        </w:sdtContent>
      </w:sdt>
    </w:p>
    <w:p w14:paraId="1066B3CC" w14:textId="02BCB113" w:rsidR="00CD36CF" w:rsidRPr="00AB4736" w:rsidRDefault="00FD366E" w:rsidP="00CC1F3B">
      <w:pPr>
        <w:pStyle w:val="BillNumber"/>
        <w:rPr>
          <w:color w:val="auto"/>
        </w:rPr>
      </w:pPr>
      <w:sdt>
        <w:sdtPr>
          <w:rPr>
            <w:color w:val="auto"/>
          </w:rPr>
          <w:tag w:val="Chamber"/>
          <w:id w:val="893011969"/>
          <w:lock w:val="sdtLocked"/>
          <w:placeholder>
            <w:docPart w:val="EA093801DE634BD9B6C90325C9392151"/>
          </w:placeholder>
          <w:dropDownList>
            <w:listItem w:displayText="House" w:value="House"/>
            <w:listItem w:displayText="Senate" w:value="Senate"/>
          </w:dropDownList>
        </w:sdtPr>
        <w:sdtEndPr/>
        <w:sdtContent>
          <w:r w:rsidR="00C33434" w:rsidRPr="00AB4736">
            <w:rPr>
              <w:color w:val="auto"/>
            </w:rPr>
            <w:t>House</w:t>
          </w:r>
        </w:sdtContent>
      </w:sdt>
      <w:r w:rsidR="00303684" w:rsidRPr="00AB4736">
        <w:rPr>
          <w:color w:val="auto"/>
        </w:rPr>
        <w:t xml:space="preserve"> </w:t>
      </w:r>
      <w:r w:rsidR="00CD36CF" w:rsidRPr="00AB4736">
        <w:rPr>
          <w:color w:val="auto"/>
        </w:rPr>
        <w:t xml:space="preserve">Bill </w:t>
      </w:r>
      <w:sdt>
        <w:sdtPr>
          <w:rPr>
            <w:color w:val="auto"/>
          </w:rPr>
          <w:tag w:val="BNum"/>
          <w:id w:val="1645317809"/>
          <w:lock w:val="sdtLocked"/>
          <w:placeholder>
            <w:docPart w:val="653BBB57EBD14EF09074E805B2467467"/>
          </w:placeholder>
          <w:text/>
        </w:sdtPr>
        <w:sdtEndPr/>
        <w:sdtContent>
          <w:r>
            <w:rPr>
              <w:color w:val="auto"/>
            </w:rPr>
            <w:t>3227</w:t>
          </w:r>
        </w:sdtContent>
      </w:sdt>
    </w:p>
    <w:p w14:paraId="4F0C4551" w14:textId="105203D4" w:rsidR="00CD36CF" w:rsidRPr="00AB4736" w:rsidRDefault="00CD36CF" w:rsidP="00CC1F3B">
      <w:pPr>
        <w:pStyle w:val="Sponsors"/>
        <w:rPr>
          <w:color w:val="auto"/>
        </w:rPr>
      </w:pPr>
      <w:r w:rsidRPr="00AB4736">
        <w:rPr>
          <w:color w:val="auto"/>
        </w:rPr>
        <w:t xml:space="preserve">By </w:t>
      </w:r>
      <w:sdt>
        <w:sdtPr>
          <w:rPr>
            <w:color w:val="auto"/>
          </w:rPr>
          <w:tag w:val="Sponsors"/>
          <w:id w:val="1589585889"/>
          <w:placeholder>
            <w:docPart w:val="B78E84167D4646C5905055102D5AE6A8"/>
          </w:placeholder>
          <w:text w:multiLine="1"/>
        </w:sdtPr>
        <w:sdtEndPr/>
        <w:sdtContent>
          <w:r w:rsidR="0033761E" w:rsidRPr="00AB4736">
            <w:rPr>
              <w:color w:val="auto"/>
            </w:rPr>
            <w:t>Delegate</w:t>
          </w:r>
          <w:r w:rsidR="00DE2DF3" w:rsidRPr="00AB4736">
            <w:rPr>
              <w:color w:val="auto"/>
            </w:rPr>
            <w:t>s</w:t>
          </w:r>
          <w:r w:rsidR="0033761E" w:rsidRPr="00AB4736">
            <w:rPr>
              <w:color w:val="auto"/>
            </w:rPr>
            <w:t xml:space="preserve"> Clark</w:t>
          </w:r>
          <w:r w:rsidR="00507749">
            <w:rPr>
              <w:color w:val="auto"/>
            </w:rPr>
            <w:t>, Howell, Kirby, McGeehan, Ferrell, Storch, Cannon, Fehrenbacher, Hornby,   W. Hall, and Petitto</w:t>
          </w:r>
        </w:sdtContent>
      </w:sdt>
    </w:p>
    <w:p w14:paraId="24CC14B6" w14:textId="404F2794" w:rsidR="00E831B3" w:rsidRPr="00AB4736" w:rsidRDefault="00CD36CF" w:rsidP="00CC1F3B">
      <w:pPr>
        <w:pStyle w:val="References"/>
        <w:rPr>
          <w:color w:val="auto"/>
        </w:rPr>
      </w:pPr>
      <w:r w:rsidRPr="00AB4736">
        <w:rPr>
          <w:color w:val="auto"/>
        </w:rPr>
        <w:t>[</w:t>
      </w:r>
      <w:sdt>
        <w:sdtPr>
          <w:rPr>
            <w:color w:val="auto"/>
          </w:rPr>
          <w:tag w:val="References"/>
          <w:id w:val="-1043047873"/>
          <w:placeholder>
            <w:docPart w:val="B7F33720D2A24B9D88E9127F48B3AA61"/>
          </w:placeholder>
          <w:text w:multiLine="1"/>
        </w:sdtPr>
        <w:sdtEndPr/>
        <w:sdtContent>
          <w:r w:rsidR="00FD366E">
            <w:rPr>
              <w:color w:val="auto"/>
            </w:rPr>
            <w:t>Introduced February 02, 2023; Referred to the Committee on Finance</w:t>
          </w:r>
        </w:sdtContent>
      </w:sdt>
      <w:r w:rsidRPr="00AB4736">
        <w:rPr>
          <w:color w:val="auto"/>
        </w:rPr>
        <w:t>]</w:t>
      </w:r>
    </w:p>
    <w:p w14:paraId="44434D41" w14:textId="5E028578" w:rsidR="00303684" w:rsidRPr="00AB4736" w:rsidRDefault="0000526A" w:rsidP="00CC1F3B">
      <w:pPr>
        <w:pStyle w:val="TitleSection"/>
        <w:rPr>
          <w:color w:val="auto"/>
        </w:rPr>
      </w:pPr>
      <w:r w:rsidRPr="00AB4736">
        <w:rPr>
          <w:color w:val="auto"/>
        </w:rPr>
        <w:lastRenderedPageBreak/>
        <w:t>A BILL</w:t>
      </w:r>
      <w:r w:rsidR="0033761E" w:rsidRPr="00AB4736">
        <w:rPr>
          <w:color w:val="auto"/>
        </w:rPr>
        <w:t xml:space="preserve"> to amend and reenact §11-21-71 of the Code of West Virginia, 1931, as amended; and to amend </w:t>
      </w:r>
      <w:r w:rsidR="00EA0EE9" w:rsidRPr="00AB4736">
        <w:rPr>
          <w:color w:val="auto"/>
        </w:rPr>
        <w:t>and reenact §11-24-44 of said code</w:t>
      </w:r>
      <w:r w:rsidR="0033761E" w:rsidRPr="00AB4736">
        <w:rPr>
          <w:color w:val="auto"/>
        </w:rPr>
        <w:t>, all relating to providing a tax credit against the state corporate net income tax to for-profit corporations or a tax credit against payroll withholdings for nonprofit corporations for expenditures related to the establishment and operation of employer-provided childcare facilities.</w:t>
      </w:r>
    </w:p>
    <w:p w14:paraId="64F786DC" w14:textId="77777777" w:rsidR="00303684" w:rsidRPr="00AB4736" w:rsidRDefault="00303684" w:rsidP="00CC1F3B">
      <w:pPr>
        <w:pStyle w:val="EnactingClause"/>
        <w:rPr>
          <w:color w:val="auto"/>
        </w:rPr>
      </w:pPr>
      <w:r w:rsidRPr="00AB4736">
        <w:rPr>
          <w:color w:val="auto"/>
        </w:rPr>
        <w:t>Be it enacted by the Legislature of West Virginia:</w:t>
      </w:r>
    </w:p>
    <w:p w14:paraId="06FD945F" w14:textId="77777777" w:rsidR="003C6034" w:rsidRPr="00AB4736" w:rsidRDefault="003C6034" w:rsidP="00CC1F3B">
      <w:pPr>
        <w:pStyle w:val="EnactingClause"/>
        <w:rPr>
          <w:color w:val="auto"/>
        </w:rPr>
        <w:sectPr w:rsidR="003C6034" w:rsidRPr="00AB4736" w:rsidSect="005306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BCAD3C" w14:textId="77777777" w:rsidR="0033761E" w:rsidRPr="00AB4736" w:rsidRDefault="0033761E" w:rsidP="00F40E0E">
      <w:pPr>
        <w:pStyle w:val="ArticleHeading"/>
        <w:rPr>
          <w:color w:val="auto"/>
        </w:rPr>
      </w:pPr>
      <w:r w:rsidRPr="00AB4736">
        <w:rPr>
          <w:color w:val="auto"/>
        </w:rPr>
        <w:t>ARTICLE 21. PERSONAL INCOME TAX.</w:t>
      </w:r>
    </w:p>
    <w:p w14:paraId="504E9ECD" w14:textId="77777777" w:rsidR="0033761E" w:rsidRPr="00AB4736" w:rsidRDefault="0033761E" w:rsidP="00F40E0E">
      <w:pPr>
        <w:pStyle w:val="SectionHeading"/>
        <w:rPr>
          <w:color w:val="auto"/>
        </w:rPr>
        <w:sectPr w:rsidR="0033761E" w:rsidRPr="00AB4736" w:rsidSect="005306B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B4736">
        <w:rPr>
          <w:color w:val="auto"/>
        </w:rPr>
        <w:t>§11-21-71. Requirement of withholding tax from wages.</w:t>
      </w:r>
    </w:p>
    <w:p w14:paraId="732F0DAA" w14:textId="77777777" w:rsidR="0033761E" w:rsidRPr="00AB4736" w:rsidRDefault="0033761E" w:rsidP="0033761E">
      <w:pPr>
        <w:pStyle w:val="SectionBody"/>
        <w:rPr>
          <w:color w:val="auto"/>
        </w:rPr>
      </w:pPr>
      <w:r w:rsidRPr="00AB4736">
        <w:rPr>
          <w:color w:val="auto"/>
        </w:rPr>
        <w:t xml:space="preserve">(a) </w:t>
      </w:r>
      <w:r w:rsidRPr="00AB4736">
        <w:rPr>
          <w:i/>
          <w:iCs/>
          <w:color w:val="auto"/>
        </w:rPr>
        <w:t>General.</w:t>
      </w:r>
      <w:r w:rsidRPr="00AB4736">
        <w:rPr>
          <w:color w:val="auto"/>
        </w:rPr>
        <w:t xml:space="preserve"> -- Every employer maintaining an office or transacting business within this state and making payment of any wage taxable under this article to a resident or nonresident individual shall deduct and withhold from such wages for each payroll period a tax computed in such manner as to result, so far as practicable, in withholding from the employee’s wages during each calendar year an amount substantially equivalent to the tax reasonably estimated to be due under this article resulting from the inclusion in the employee’s West Virginia adjusted gross income of wages received during such calendar year. The method of determining the amount to be withheld shall be prescribed by the Tax Commissioner, with due regard to the West Virginia withholding exemption of the employee and any low income exclusion allowed to such employee under section 10 of this article and asserted in good faith by the employee. This section shall not apply to payments by the United States for service in the Armed Forces of the United States: </w:t>
      </w:r>
      <w:r w:rsidRPr="00AB4736">
        <w:rPr>
          <w:i/>
          <w:iCs/>
          <w:color w:val="auto"/>
        </w:rPr>
        <w:t>Provided,</w:t>
      </w:r>
      <w:r w:rsidRPr="00AB4736">
        <w:rPr>
          <w:color w:val="auto"/>
        </w:rPr>
        <w:t xml:space="preserve"> That the Tax Commissioner may execute an agreement with the secretary of the treasury, as provided in 5 U.S.C. §5517, for the mandatory withholding of tax under this section on pay to members of the National Guard while participating in exercises or performing duty under 32 U.S.C. §502, and on pay to members of the ready reserve while participating in scheduled drills or training periods or serving on active duty for training under 10 U.S.C. §270(a).</w:t>
      </w:r>
    </w:p>
    <w:p w14:paraId="6F2C21E0" w14:textId="77777777" w:rsidR="0033761E" w:rsidRPr="00AB4736" w:rsidRDefault="0033761E" w:rsidP="0033761E">
      <w:pPr>
        <w:pStyle w:val="SectionBody"/>
        <w:rPr>
          <w:color w:val="auto"/>
        </w:rPr>
      </w:pPr>
      <w:r w:rsidRPr="00AB4736">
        <w:rPr>
          <w:color w:val="auto"/>
        </w:rPr>
        <w:t xml:space="preserve">(b) </w:t>
      </w:r>
      <w:r w:rsidRPr="00AB4736">
        <w:rPr>
          <w:i/>
          <w:iCs/>
          <w:color w:val="auto"/>
        </w:rPr>
        <w:t>Withholding exemptions.</w:t>
      </w:r>
      <w:r w:rsidRPr="00AB4736">
        <w:rPr>
          <w:color w:val="auto"/>
        </w:rPr>
        <w:t xml:space="preserve"> -- For purposes of this section:</w:t>
      </w:r>
    </w:p>
    <w:p w14:paraId="0B1C769B" w14:textId="77777777" w:rsidR="0033761E" w:rsidRPr="00AB4736" w:rsidRDefault="0033761E" w:rsidP="0033761E">
      <w:pPr>
        <w:pStyle w:val="SectionBody"/>
        <w:rPr>
          <w:color w:val="auto"/>
        </w:rPr>
      </w:pPr>
      <w:r w:rsidRPr="00AB4736">
        <w:rPr>
          <w:color w:val="auto"/>
        </w:rPr>
        <w:t>(1) An employee shall be entitled to the same number of West Virginia withholding exemptions as the number of withholding exemptions to which he or she is entitled for federal income tax withholding purposes. An employer may rely upon the number of federal withholding exemptions claimed by the employee, except where the employee claims a higher number of West Virginia withholding exemptions.</w:t>
      </w:r>
    </w:p>
    <w:p w14:paraId="5DFEBEE5" w14:textId="77777777" w:rsidR="0033761E" w:rsidRPr="00AB4736" w:rsidRDefault="0033761E" w:rsidP="0033761E">
      <w:pPr>
        <w:pStyle w:val="SectionBody"/>
        <w:rPr>
          <w:color w:val="auto"/>
        </w:rPr>
      </w:pPr>
      <w:r w:rsidRPr="00AB4736">
        <w:rPr>
          <w:color w:val="auto"/>
        </w:rPr>
        <w:t>(2) With respect to any taxable year beginning after December 31, 1986, the amount of each West Virginia exemption shall be $2,000 whether the individual is a resident or nonresident.</w:t>
      </w:r>
    </w:p>
    <w:p w14:paraId="10EE45F0" w14:textId="77777777" w:rsidR="0033761E" w:rsidRPr="00AB4736" w:rsidRDefault="0033761E" w:rsidP="0033761E">
      <w:pPr>
        <w:pStyle w:val="SectionBody"/>
        <w:rPr>
          <w:color w:val="auto"/>
        </w:rPr>
      </w:pPr>
      <w:r w:rsidRPr="00AB4736">
        <w:rPr>
          <w:color w:val="auto"/>
        </w:rPr>
        <w:t xml:space="preserve">(c) </w:t>
      </w:r>
      <w:r w:rsidRPr="00AB4736">
        <w:rPr>
          <w:i/>
          <w:iCs/>
          <w:color w:val="auto"/>
        </w:rPr>
        <w:t>Exception for certain nonresidents.</w:t>
      </w:r>
      <w:r w:rsidRPr="00AB4736">
        <w:rPr>
          <w:color w:val="auto"/>
        </w:rPr>
        <w:t xml:space="preserve"> -- If the income tax law of another state of the United States or of the District of Columbia results in its residents being allowed a credit under section forty sufficient to offset all taxes required by this article to be withheld from wages of an employee, the Tax Commissioner may by regulation relieve the employers of such employees from withholding requirements of this article with respect to such employees.</w:t>
      </w:r>
    </w:p>
    <w:p w14:paraId="1FFDCD80" w14:textId="77777777" w:rsidR="0033761E" w:rsidRPr="00AB4736" w:rsidRDefault="0033761E" w:rsidP="0033761E">
      <w:pPr>
        <w:pStyle w:val="SectionBody"/>
        <w:rPr>
          <w:color w:val="auto"/>
        </w:rPr>
      </w:pPr>
      <w:r w:rsidRPr="00AB4736">
        <w:rPr>
          <w:color w:val="auto"/>
        </w:rPr>
        <w:t xml:space="preserve">(d) </w:t>
      </w:r>
      <w:r w:rsidRPr="00AB4736">
        <w:rPr>
          <w:i/>
          <w:iCs/>
          <w:color w:val="auto"/>
        </w:rPr>
        <w:t>Effective date.</w:t>
      </w:r>
      <w:r w:rsidRPr="00AB4736">
        <w:rPr>
          <w:color w:val="auto"/>
        </w:rPr>
        <w:t xml:space="preserve"> -- The provisions of this section, as amended in the year 1996, shall apply to all taxable years or portions thereof beginning after June 30, 1996.</w:t>
      </w:r>
    </w:p>
    <w:p w14:paraId="66C15BA6" w14:textId="77777777" w:rsidR="0033761E" w:rsidRPr="00AB4736" w:rsidRDefault="0033761E" w:rsidP="0033761E">
      <w:pPr>
        <w:pStyle w:val="SectionBody"/>
        <w:rPr>
          <w:color w:val="auto"/>
          <w:u w:val="single"/>
        </w:rPr>
      </w:pPr>
      <w:r w:rsidRPr="00AB4736">
        <w:rPr>
          <w:i/>
          <w:iCs/>
          <w:color w:val="auto"/>
          <w:u w:val="single"/>
        </w:rPr>
        <w:t xml:space="preserve">(e) Tax Credit Against Withholdings for Non-Profit Corporations Providing Employee Child Care </w:t>
      </w:r>
      <w:r w:rsidRPr="00AB4736">
        <w:rPr>
          <w:color w:val="auto"/>
          <w:u w:val="single"/>
        </w:rPr>
        <w:t>– The tax credit provided for in §11-24-44 of this code may be taken against withholdings required by this section by nonprofit corporations organized under Internal Revenue Code §501(c)(3) or §501(c)(6) and who are exempt from the corporate net income pursuant to §11-24-5 of this code. All of the provisions and limitations of §11-24-44 of this code apply to any credit claimed under this subsection.</w:t>
      </w:r>
    </w:p>
    <w:p w14:paraId="22E5D955" w14:textId="77777777" w:rsidR="0033761E" w:rsidRPr="00AB4736" w:rsidRDefault="0033761E" w:rsidP="00F40E0E">
      <w:pPr>
        <w:pStyle w:val="ArticleHeading"/>
        <w:rPr>
          <w:color w:val="auto"/>
        </w:rPr>
      </w:pPr>
      <w:r w:rsidRPr="00AB4736">
        <w:rPr>
          <w:color w:val="auto"/>
        </w:rPr>
        <w:t>ARTICLE 24. CORPORATION NET INCOME TAX.</w:t>
      </w:r>
    </w:p>
    <w:p w14:paraId="77FF266E" w14:textId="77777777" w:rsidR="005306BD" w:rsidRPr="00AB4736" w:rsidRDefault="005306BD" w:rsidP="0033761E">
      <w:pPr>
        <w:pStyle w:val="SectionBody"/>
        <w:suppressLineNumbers/>
        <w:rPr>
          <w:color w:val="auto"/>
        </w:rPr>
        <w:sectPr w:rsidR="005306BD" w:rsidRPr="00AB4736" w:rsidSect="005306BD">
          <w:type w:val="continuous"/>
          <w:pgSz w:w="12240" w:h="15840" w:code="1"/>
          <w:pgMar w:top="1440" w:right="1440" w:bottom="1440" w:left="1440" w:header="720" w:footer="720" w:gutter="0"/>
          <w:lnNumType w:countBy="1" w:restart="newSection"/>
          <w:cols w:space="720"/>
          <w:docGrid w:linePitch="360"/>
        </w:sectPr>
      </w:pPr>
    </w:p>
    <w:p w14:paraId="0903DF2D" w14:textId="77777777" w:rsidR="005306BD" w:rsidRPr="00AB4736" w:rsidRDefault="005306BD" w:rsidP="00A51FB3">
      <w:pPr>
        <w:pStyle w:val="SectionHeading"/>
        <w:rPr>
          <w:caps/>
          <w:color w:val="auto"/>
        </w:rPr>
      </w:pPr>
      <w:bookmarkStart w:id="0" w:name="_Hlk97538099"/>
      <w:r w:rsidRPr="00AB4736">
        <w:rPr>
          <w:color w:val="auto"/>
        </w:rPr>
        <w:t>§11-24-44</w:t>
      </w:r>
      <w:bookmarkEnd w:id="0"/>
      <w:r w:rsidRPr="00AB4736">
        <w:rPr>
          <w:color w:val="auto"/>
        </w:rPr>
        <w:t>. Tax credit for employers providing child care for employees.</w:t>
      </w:r>
    </w:p>
    <w:p w14:paraId="749589E0" w14:textId="77777777" w:rsidR="005306BD" w:rsidRPr="00AB4736" w:rsidRDefault="005306BD" w:rsidP="00A51FB3">
      <w:pPr>
        <w:pStyle w:val="SectionBody"/>
        <w:rPr>
          <w:rFonts w:eastAsia="Times New Roman"/>
          <w:color w:val="auto"/>
        </w:rPr>
        <w:sectPr w:rsidR="005306BD" w:rsidRPr="00AB4736" w:rsidSect="00804D9B">
          <w:type w:val="continuous"/>
          <w:pgSz w:w="12240" w:h="15840" w:code="1"/>
          <w:pgMar w:top="1440" w:right="1440" w:bottom="1440" w:left="1440" w:header="720" w:footer="720" w:gutter="0"/>
          <w:lnNumType w:countBy="1" w:restart="newSection"/>
          <w:cols w:space="720"/>
          <w:docGrid w:linePitch="360"/>
        </w:sectPr>
      </w:pPr>
    </w:p>
    <w:p w14:paraId="27D74FFC" w14:textId="77777777" w:rsidR="005306BD" w:rsidRPr="00AB4736" w:rsidRDefault="005306BD" w:rsidP="00A51FB3">
      <w:pPr>
        <w:pStyle w:val="SectionBody"/>
        <w:rPr>
          <w:rFonts w:eastAsia="Times New Roman"/>
          <w:color w:val="auto"/>
        </w:rPr>
      </w:pPr>
      <w:r w:rsidRPr="00AB4736">
        <w:rPr>
          <w:rFonts w:eastAsia="Times New Roman"/>
          <w:color w:val="auto"/>
        </w:rPr>
        <w:t xml:space="preserve">(a) </w:t>
      </w:r>
      <w:r w:rsidRPr="00AB4736">
        <w:rPr>
          <w:rFonts w:eastAsia="Times New Roman"/>
          <w:i/>
          <w:color w:val="auto"/>
        </w:rPr>
        <w:t>Definition</w:t>
      </w:r>
      <w:r w:rsidRPr="00AB4736">
        <w:rPr>
          <w:rFonts w:eastAsia="Times New Roman"/>
          <w:iCs/>
          <w:color w:val="auto"/>
        </w:rPr>
        <w:t xml:space="preserve">. —- </w:t>
      </w:r>
      <w:r w:rsidRPr="00AB4736">
        <w:rPr>
          <w:rFonts w:eastAsia="Times New Roman"/>
          <w:color w:val="auto"/>
        </w:rPr>
        <w:t>As used in this section, the term:</w:t>
      </w:r>
      <w:bookmarkStart w:id="1" w:name="48-7-40.6(a)(1)"/>
      <w:bookmarkEnd w:id="1"/>
    </w:p>
    <w:p w14:paraId="0A2448E6" w14:textId="77777777" w:rsidR="005306BD" w:rsidRPr="00AB4736" w:rsidRDefault="005306BD" w:rsidP="00A51FB3">
      <w:pPr>
        <w:pStyle w:val="SectionBody"/>
        <w:rPr>
          <w:rFonts w:eastAsia="Times New Roman"/>
          <w:color w:val="auto"/>
        </w:rPr>
      </w:pPr>
      <w:r w:rsidRPr="00AB4736">
        <w:rPr>
          <w:rFonts w:eastAsia="Times New Roman"/>
          <w:color w:val="auto"/>
        </w:rPr>
        <w:t>(1) “Commissioner” or “Tax Commissioner” are used interchangeably herein and mean the Tax Commissioner of the State of West Virginia, or his or her delegate;</w:t>
      </w:r>
    </w:p>
    <w:p w14:paraId="2D0D4492" w14:textId="77777777" w:rsidR="005306BD" w:rsidRPr="00AB4736" w:rsidRDefault="005306BD" w:rsidP="00A51FB3">
      <w:pPr>
        <w:pStyle w:val="SectionBody"/>
        <w:rPr>
          <w:rFonts w:eastAsia="Times New Roman"/>
          <w:color w:val="auto"/>
        </w:rPr>
      </w:pPr>
      <w:r w:rsidRPr="00AB4736">
        <w:rPr>
          <w:rFonts w:eastAsia="Times New Roman"/>
          <w:color w:val="auto"/>
        </w:rPr>
        <w:t>(2) “Cost of operation” means reasonable direct operational costs incurred by an employer as a result of providing employer provided or employer sponsored child-care facilities; provided, however, that the term cost of operation shall exclude the cost of any property that is qualified child-care property.</w:t>
      </w:r>
    </w:p>
    <w:p w14:paraId="710C6489" w14:textId="77777777" w:rsidR="005306BD" w:rsidRPr="00AB4736" w:rsidRDefault="005306BD" w:rsidP="00A51FB3">
      <w:pPr>
        <w:pStyle w:val="SectionBody"/>
        <w:rPr>
          <w:rFonts w:eastAsia="Times New Roman"/>
          <w:color w:val="auto"/>
        </w:rPr>
      </w:pPr>
      <w:r w:rsidRPr="00AB4736">
        <w:rPr>
          <w:rFonts w:eastAsia="Times New Roman"/>
          <w:color w:val="auto"/>
        </w:rPr>
        <w:t>(3) “Department” or “Tax Department” means the West Virginia State Tax Department.</w:t>
      </w:r>
    </w:p>
    <w:p w14:paraId="0379D143" w14:textId="77777777" w:rsidR="005306BD" w:rsidRPr="00AB4736" w:rsidRDefault="005306BD" w:rsidP="00A51FB3">
      <w:pPr>
        <w:pStyle w:val="SectionBody"/>
        <w:rPr>
          <w:rFonts w:eastAsia="Times New Roman"/>
          <w:color w:val="auto"/>
        </w:rPr>
      </w:pPr>
      <w:bookmarkStart w:id="2" w:name="48-7-40.6(a)(2)"/>
      <w:bookmarkEnd w:id="2"/>
      <w:r w:rsidRPr="00AB4736">
        <w:rPr>
          <w:rFonts w:eastAsia="Times New Roman"/>
          <w:color w:val="auto"/>
        </w:rPr>
        <w:t>(4)</w:t>
      </w:r>
      <w:bookmarkStart w:id="3" w:name="SLCODGL:2053.4"/>
      <w:bookmarkEnd w:id="3"/>
      <w:r w:rsidRPr="00AB4736">
        <w:rPr>
          <w:rFonts w:eastAsia="Times New Roman"/>
          <w:color w:val="auto"/>
        </w:rPr>
        <w:t xml:space="preserve"> “Employer” means any employer upon whom an income tax is imposed by this article or any employer organized as a nonprofit corporation under Internal Revenue Code </w:t>
      </w:r>
      <w:bookmarkStart w:id="4" w:name="_Hlk95117768"/>
      <w:r w:rsidRPr="00AB4736">
        <w:rPr>
          <w:rFonts w:eastAsia="Times New Roman"/>
          <w:color w:val="auto"/>
        </w:rPr>
        <w:t>§ 501(c)</w:t>
      </w:r>
      <w:bookmarkEnd w:id="4"/>
      <w:r w:rsidRPr="00AB4736">
        <w:rPr>
          <w:rFonts w:eastAsia="Times New Roman"/>
          <w:color w:val="auto"/>
        </w:rPr>
        <w:t>(3) or § 501(c)(6) that is exempt from the tax imposed by this article pursuant to §11-24-5 of this code.</w:t>
      </w:r>
    </w:p>
    <w:p w14:paraId="735DA39F" w14:textId="77777777" w:rsidR="005306BD" w:rsidRPr="00AB4736" w:rsidRDefault="005306BD" w:rsidP="00A51FB3">
      <w:pPr>
        <w:pStyle w:val="SectionBody"/>
        <w:rPr>
          <w:rFonts w:eastAsia="Times New Roman"/>
          <w:color w:val="auto"/>
        </w:rPr>
      </w:pPr>
      <w:bookmarkStart w:id="5" w:name="48-7-40.6(a)(3)"/>
      <w:bookmarkEnd w:id="5"/>
      <w:r w:rsidRPr="00AB4736">
        <w:rPr>
          <w:rFonts w:eastAsia="Times New Roman"/>
          <w:color w:val="auto"/>
        </w:rPr>
        <w:t>(5)</w:t>
      </w:r>
      <w:bookmarkStart w:id="6" w:name="SLCODGL:2053.5"/>
      <w:bookmarkEnd w:id="6"/>
      <w:r w:rsidRPr="00AB4736">
        <w:rPr>
          <w:rFonts w:eastAsia="Times New Roman"/>
          <w:color w:val="auto"/>
        </w:rPr>
        <w:t xml:space="preserve"> “Employer provided” refers to child care offered on the premises of the employer.</w:t>
      </w:r>
    </w:p>
    <w:p w14:paraId="6A5AF203" w14:textId="17A9CEB2" w:rsidR="005306BD" w:rsidRPr="00AB4736" w:rsidRDefault="005306BD" w:rsidP="00A51FB3">
      <w:pPr>
        <w:pStyle w:val="SectionBody"/>
        <w:rPr>
          <w:rFonts w:eastAsia="Times New Roman"/>
          <w:color w:val="auto"/>
        </w:rPr>
      </w:pPr>
      <w:bookmarkStart w:id="7" w:name="48-7-40.6(a)(4)"/>
      <w:bookmarkStart w:id="8" w:name="48-7-40.6(a)(5)"/>
      <w:bookmarkEnd w:id="7"/>
      <w:bookmarkEnd w:id="8"/>
      <w:r w:rsidRPr="00AB4736">
        <w:rPr>
          <w:rFonts w:eastAsia="Times New Roman"/>
          <w:color w:val="auto"/>
        </w:rPr>
        <w:t>(6)</w:t>
      </w:r>
      <w:bookmarkStart w:id="9" w:name="SLCODGL:2053.7"/>
      <w:bookmarkEnd w:id="9"/>
      <w:r w:rsidRPr="00AB4736">
        <w:rPr>
          <w:rFonts w:eastAsia="Times New Roman"/>
          <w:color w:val="auto"/>
        </w:rPr>
        <w:t xml:space="preserve"> “Premises of the employer”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AB4736">
        <w:rPr>
          <w:rFonts w:eastAsia="Times New Roman"/>
          <w:i/>
          <w:color w:val="auto"/>
        </w:rPr>
        <w:t>Provided</w:t>
      </w:r>
      <w:r w:rsidRPr="00AB4736">
        <w:rPr>
          <w:rFonts w:eastAsia="Times New Roman"/>
          <w:color w:val="auto"/>
        </w:rPr>
        <w:t xml:space="preserve">, That if such workplace premises are impracticable or otherwise unsuitable for the on-site location of such child-care facility, as determined by the commissioner, such facility may be located within a reasonable distance of the premises of the employer </w:t>
      </w:r>
      <w:r w:rsidRPr="00AB4736">
        <w:rPr>
          <w:color w:val="auto"/>
          <w:u w:val="single"/>
        </w:rPr>
        <w:t>or may be contracted for a minimum of 365 days, in order to protect the provider and spaces allowed by Department of Health and Human Resources ("DHHR") rules, with a licensed provider within a reasonable distance of the premises of the employer. Provider is permitted to fill uncontracted spaces allowed by DHHR rules by making them available to the general public</w:t>
      </w:r>
      <w:r w:rsidRPr="00AB4736">
        <w:rPr>
          <w:rFonts w:eastAsia="Times New Roman"/>
          <w:color w:val="auto"/>
          <w:u w:val="single"/>
        </w:rPr>
        <w:t>.</w:t>
      </w:r>
    </w:p>
    <w:p w14:paraId="3E03429E" w14:textId="77777777" w:rsidR="005306BD" w:rsidRPr="00AB4736" w:rsidRDefault="005306BD" w:rsidP="00A51FB3">
      <w:pPr>
        <w:pStyle w:val="SectionBody"/>
        <w:rPr>
          <w:rFonts w:eastAsia="Times New Roman"/>
          <w:color w:val="auto"/>
        </w:rPr>
      </w:pPr>
      <w:bookmarkStart w:id="10" w:name="48-7-40.6(a)(6)"/>
      <w:bookmarkEnd w:id="10"/>
      <w:r w:rsidRPr="00AB4736">
        <w:rPr>
          <w:rFonts w:eastAsia="Times New Roman"/>
          <w:color w:val="auto"/>
        </w:rPr>
        <w:t>(7)</w:t>
      </w:r>
      <w:bookmarkStart w:id="11" w:name="SLCODGL:2053.8"/>
      <w:bookmarkEnd w:id="11"/>
      <w:r w:rsidRPr="00AB4736">
        <w:rPr>
          <w:rFonts w:eastAsia="Times New Roman"/>
          <w:color w:val="auto"/>
        </w:rPr>
        <w:t xml:space="preserve"> “Qualified child-care property”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1E1F85F6" w14:textId="77777777" w:rsidR="005306BD" w:rsidRPr="00AB4736" w:rsidRDefault="005306BD" w:rsidP="00A51FB3">
      <w:pPr>
        <w:pStyle w:val="SectionBody"/>
        <w:rPr>
          <w:rFonts w:eastAsia="Times New Roman"/>
          <w:color w:val="auto"/>
        </w:rPr>
      </w:pPr>
      <w:bookmarkStart w:id="12" w:name="48-7-40.6(a)(6)(A)"/>
      <w:bookmarkStart w:id="13" w:name="48-7-40.6(a)(6)(B)"/>
      <w:bookmarkEnd w:id="12"/>
      <w:bookmarkEnd w:id="13"/>
      <w:r w:rsidRPr="00AB4736">
        <w:rPr>
          <w:rFonts w:eastAsia="Times New Roman"/>
          <w:color w:val="auto"/>
        </w:rPr>
        <w:t>(A)</w:t>
      </w:r>
      <w:bookmarkStart w:id="14" w:name="SLCODGL:2053.10"/>
      <w:bookmarkEnd w:id="14"/>
      <w:r w:rsidRPr="00AB4736">
        <w:rPr>
          <w:rFonts w:eastAsia="Times New Roman"/>
          <w:color w:val="auto"/>
        </w:rPr>
        <w:t xml:space="preserve"> The children who use the facility are primarily children of employees of:</w:t>
      </w:r>
    </w:p>
    <w:p w14:paraId="3A62EAAF" w14:textId="77777777" w:rsidR="005306BD" w:rsidRPr="00AB4736" w:rsidRDefault="005306BD" w:rsidP="00A51FB3">
      <w:pPr>
        <w:pStyle w:val="SectionBody"/>
        <w:rPr>
          <w:rFonts w:eastAsia="Times New Roman"/>
          <w:color w:val="auto"/>
        </w:rPr>
      </w:pPr>
      <w:bookmarkStart w:id="15" w:name="48-7-40.6(a)(6)(B)(i)"/>
      <w:bookmarkEnd w:id="15"/>
      <w:r w:rsidRPr="00AB4736">
        <w:rPr>
          <w:rFonts w:eastAsia="Times New Roman"/>
          <w:color w:val="auto"/>
        </w:rPr>
        <w:t>(i)</w:t>
      </w:r>
      <w:bookmarkStart w:id="16" w:name="SLCODGL:2053.11"/>
      <w:bookmarkEnd w:id="16"/>
      <w:r w:rsidRPr="00AB4736">
        <w:rPr>
          <w:rFonts w:eastAsia="Times New Roman"/>
          <w:color w:val="auto"/>
        </w:rPr>
        <w:t xml:space="preserve"> The taxpayer and other employers in the event that the child-care property is owned jointly or severally by the taxpayer and one or more employers; or</w:t>
      </w:r>
    </w:p>
    <w:p w14:paraId="7FD21DE0" w14:textId="77777777" w:rsidR="005306BD" w:rsidRPr="00AB4736" w:rsidRDefault="005306BD" w:rsidP="00A51FB3">
      <w:pPr>
        <w:pStyle w:val="SectionBody"/>
        <w:rPr>
          <w:rFonts w:eastAsia="Times New Roman"/>
          <w:color w:val="auto"/>
        </w:rPr>
      </w:pPr>
      <w:bookmarkStart w:id="17" w:name="48-7-40.6(a)(6)(B)(ii)"/>
      <w:bookmarkEnd w:id="17"/>
      <w:r w:rsidRPr="00AB4736">
        <w:rPr>
          <w:rFonts w:eastAsia="Times New Roman"/>
          <w:color w:val="auto"/>
        </w:rPr>
        <w:t>(ii)</w:t>
      </w:r>
      <w:bookmarkStart w:id="18" w:name="SLCODGL:2053.12"/>
      <w:bookmarkEnd w:id="18"/>
      <w:r w:rsidRPr="00AB4736">
        <w:rPr>
          <w:rFonts w:eastAsia="Times New Roman"/>
          <w:color w:val="auto"/>
        </w:rPr>
        <w:t xml:space="preserve"> A corporation that is a member of the taxpayer’s “affiliated group” within the meaning of Section 1504(a) of the Internal Revenue Code; and</w:t>
      </w:r>
    </w:p>
    <w:p w14:paraId="3AD12691" w14:textId="77777777" w:rsidR="005306BD" w:rsidRPr="00AB4736" w:rsidRDefault="005306BD" w:rsidP="00A51FB3">
      <w:pPr>
        <w:pStyle w:val="SectionBody"/>
        <w:rPr>
          <w:rFonts w:eastAsia="Times New Roman"/>
          <w:color w:val="auto"/>
        </w:rPr>
      </w:pPr>
      <w:bookmarkStart w:id="19" w:name="48-7-40.6(a)(6)(C)"/>
      <w:bookmarkEnd w:id="19"/>
      <w:r w:rsidRPr="00AB4736">
        <w:rPr>
          <w:rFonts w:eastAsia="Times New Roman"/>
          <w:color w:val="auto"/>
        </w:rPr>
        <w:t>(B)</w:t>
      </w:r>
      <w:bookmarkStart w:id="20" w:name="SLCODGL:2053.13"/>
      <w:bookmarkEnd w:id="20"/>
      <w:r w:rsidRPr="00AB4736">
        <w:rPr>
          <w:rFonts w:eastAsia="Times New Roman"/>
          <w:color w:val="auto"/>
        </w:rPr>
        <w:t xml:space="preserve"> The taxpayer has not previously claimed any tax credit for the cost of operation for such qualified child-care property placed in service prior to taxable years beginning on or after January 1, 2022.</w:t>
      </w:r>
    </w:p>
    <w:p w14:paraId="04C15CD3" w14:textId="37827187" w:rsidR="005306BD" w:rsidRPr="00AB4736" w:rsidRDefault="005306BD" w:rsidP="00A51FB3">
      <w:pPr>
        <w:pStyle w:val="SectionBody"/>
        <w:rPr>
          <w:rFonts w:eastAsia="Times New Roman"/>
          <w:color w:val="auto"/>
        </w:rPr>
      </w:pPr>
      <w:r w:rsidRPr="00AB4736">
        <w:rPr>
          <w:rFonts w:eastAsia="Times New Roman"/>
          <w:color w:val="auto"/>
          <w:u w:val="single"/>
        </w:rPr>
        <w:t>(8)</w:t>
      </w:r>
      <w:r w:rsidRPr="00AB4736">
        <w:rPr>
          <w:rFonts w:eastAsia="Times New Roman"/>
          <w:color w:val="auto"/>
        </w:rPr>
        <w:t xml:space="preserve"> Qualified child-care property includes, but is not limited to, amounts expended on building, improvements, and building improvements and furniture, fixtures, and equipment directly related to the operation of child-care property as defined in this section.</w:t>
      </w:r>
    </w:p>
    <w:p w14:paraId="0912BD75" w14:textId="271A9B9B" w:rsidR="005306BD" w:rsidRPr="00AB4736" w:rsidRDefault="005306BD" w:rsidP="00A51FB3">
      <w:pPr>
        <w:pStyle w:val="SectionBody"/>
        <w:rPr>
          <w:rFonts w:eastAsia="Times New Roman"/>
          <w:color w:val="auto"/>
        </w:rPr>
      </w:pPr>
      <w:bookmarkStart w:id="21" w:name="48-7-40.6(a)(7)"/>
      <w:bookmarkEnd w:id="21"/>
      <w:r w:rsidRPr="00AB4736">
        <w:rPr>
          <w:rFonts w:eastAsia="Times New Roman"/>
          <w:strike/>
          <w:color w:val="auto"/>
        </w:rPr>
        <w:t>(8)</w:t>
      </w:r>
      <w:bookmarkStart w:id="22" w:name="SLCODGL:2053.14"/>
      <w:bookmarkEnd w:id="22"/>
      <w:r w:rsidRPr="00AB4736">
        <w:rPr>
          <w:rFonts w:eastAsia="Times New Roman"/>
          <w:color w:val="auto"/>
        </w:rPr>
        <w:t xml:space="preserve"> </w:t>
      </w:r>
      <w:r w:rsidRPr="00AB4736">
        <w:rPr>
          <w:rFonts w:eastAsia="Times New Roman"/>
          <w:color w:val="auto"/>
          <w:u w:val="single"/>
        </w:rPr>
        <w:t>(9)</w:t>
      </w:r>
      <w:r w:rsidRPr="00AB4736">
        <w:rPr>
          <w:rFonts w:eastAsia="Times New Roman"/>
          <w:color w:val="auto"/>
        </w:rPr>
        <w:t xml:space="preserve"> “Recapture amount”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2EFAEAD3" w14:textId="1BD53D64" w:rsidR="005306BD" w:rsidRPr="00AB4736" w:rsidRDefault="005306BD" w:rsidP="00A51FB3">
      <w:pPr>
        <w:pStyle w:val="SectionBody"/>
        <w:rPr>
          <w:rFonts w:eastAsia="Times New Roman"/>
          <w:color w:val="auto"/>
        </w:rPr>
      </w:pPr>
      <w:bookmarkStart w:id="23" w:name="48-7-40.6(a)(8)"/>
      <w:bookmarkEnd w:id="23"/>
      <w:r w:rsidRPr="00AB4736">
        <w:rPr>
          <w:rFonts w:eastAsia="Times New Roman"/>
          <w:strike/>
          <w:color w:val="auto"/>
        </w:rPr>
        <w:t>(9)</w:t>
      </w:r>
      <w:bookmarkStart w:id="24" w:name="SLCODGL:2053.15"/>
      <w:bookmarkEnd w:id="24"/>
      <w:r w:rsidRPr="00AB4736">
        <w:rPr>
          <w:rFonts w:eastAsia="Times New Roman"/>
          <w:color w:val="auto"/>
        </w:rPr>
        <w:t xml:space="preserve"> </w:t>
      </w:r>
      <w:r w:rsidRPr="00AB4736">
        <w:rPr>
          <w:rFonts w:eastAsia="Times New Roman"/>
          <w:color w:val="auto"/>
          <w:u w:val="single"/>
        </w:rPr>
        <w:t>(10)</w:t>
      </w:r>
      <w:r w:rsidRPr="00AB4736">
        <w:rPr>
          <w:rFonts w:eastAsia="Times New Roman"/>
          <w:color w:val="auto"/>
        </w:rPr>
        <w:t xml:space="preserve"> ”Recapture event” refers to any disposition of qualified child-care property by the taxpayer, or any other event or circumstance under which property ceases to be qualified child-care property with respect to the taxpayer, except for:</w:t>
      </w:r>
    </w:p>
    <w:p w14:paraId="6B0F78C4" w14:textId="77777777" w:rsidR="005306BD" w:rsidRPr="00AB4736" w:rsidRDefault="005306BD" w:rsidP="00A51FB3">
      <w:pPr>
        <w:pStyle w:val="SectionBody"/>
        <w:rPr>
          <w:rFonts w:eastAsia="Times New Roman"/>
          <w:color w:val="auto"/>
        </w:rPr>
      </w:pPr>
      <w:bookmarkStart w:id="25" w:name="48-7-40.6(a)(8)(A)"/>
      <w:bookmarkEnd w:id="25"/>
      <w:r w:rsidRPr="00AB4736">
        <w:rPr>
          <w:rFonts w:eastAsia="Times New Roman"/>
          <w:color w:val="auto"/>
        </w:rPr>
        <w:t>(A)</w:t>
      </w:r>
      <w:bookmarkStart w:id="26" w:name="SLCODGL:2053.16"/>
      <w:bookmarkEnd w:id="26"/>
      <w:r w:rsidRPr="00AB4736">
        <w:rPr>
          <w:rFonts w:eastAsia="Times New Roman"/>
          <w:color w:val="auto"/>
        </w:rPr>
        <w:t xml:space="preserve"> Any transfer by reason of death;</w:t>
      </w:r>
    </w:p>
    <w:p w14:paraId="4B98E86B" w14:textId="77777777" w:rsidR="005306BD" w:rsidRPr="00AB4736" w:rsidRDefault="005306BD" w:rsidP="00A51FB3">
      <w:pPr>
        <w:pStyle w:val="SectionBody"/>
        <w:rPr>
          <w:rFonts w:eastAsia="Times New Roman"/>
          <w:color w:val="auto"/>
        </w:rPr>
      </w:pPr>
      <w:bookmarkStart w:id="27" w:name="48-7-40.6(a)(8)(B)"/>
      <w:bookmarkEnd w:id="27"/>
      <w:r w:rsidRPr="00AB4736">
        <w:rPr>
          <w:rFonts w:eastAsia="Times New Roman"/>
          <w:color w:val="auto"/>
        </w:rPr>
        <w:t>(B)</w:t>
      </w:r>
      <w:bookmarkStart w:id="28" w:name="SLCODGL:2053.17"/>
      <w:bookmarkEnd w:id="28"/>
      <w:r w:rsidRPr="00AB4736">
        <w:rPr>
          <w:rFonts w:eastAsia="Times New Roman"/>
          <w:color w:val="auto"/>
        </w:rPr>
        <w:t xml:space="preserve"> Any transfer between spouses or incident to divorce;</w:t>
      </w:r>
    </w:p>
    <w:p w14:paraId="44193C65" w14:textId="77777777" w:rsidR="005306BD" w:rsidRPr="00AB4736" w:rsidRDefault="005306BD" w:rsidP="00A51FB3">
      <w:pPr>
        <w:pStyle w:val="SectionBody"/>
        <w:rPr>
          <w:rFonts w:eastAsia="Times New Roman"/>
          <w:color w:val="auto"/>
        </w:rPr>
      </w:pPr>
      <w:bookmarkStart w:id="29" w:name="48-7-40.6(a)(8)(C)"/>
      <w:bookmarkEnd w:id="29"/>
      <w:r w:rsidRPr="00AB4736">
        <w:rPr>
          <w:rFonts w:eastAsia="Times New Roman"/>
          <w:color w:val="auto"/>
        </w:rPr>
        <w:t>(C)</w:t>
      </w:r>
      <w:bookmarkStart w:id="30" w:name="SLCODGL:2053.18"/>
      <w:bookmarkEnd w:id="30"/>
      <w:r w:rsidRPr="00AB4736">
        <w:rPr>
          <w:rFonts w:eastAsia="Times New Roman"/>
          <w:color w:val="auto"/>
        </w:rPr>
        <w:t xml:space="preserve"> Any transaction to which Section 381(a) of the Internal Revenue Code applies;</w:t>
      </w:r>
    </w:p>
    <w:p w14:paraId="172EBB45" w14:textId="77777777" w:rsidR="005306BD" w:rsidRPr="00AB4736" w:rsidRDefault="005306BD" w:rsidP="00A51FB3">
      <w:pPr>
        <w:pStyle w:val="SectionBody"/>
        <w:rPr>
          <w:rFonts w:eastAsia="Times New Roman"/>
          <w:color w:val="auto"/>
        </w:rPr>
      </w:pPr>
      <w:bookmarkStart w:id="31" w:name="48-7-40.6(a)(8)(D)"/>
      <w:bookmarkEnd w:id="31"/>
      <w:r w:rsidRPr="00AB4736">
        <w:rPr>
          <w:rFonts w:eastAsia="Times New Roman"/>
          <w:color w:val="auto"/>
        </w:rPr>
        <w:t>(D)</w:t>
      </w:r>
      <w:bookmarkStart w:id="32" w:name="SLCODGL:2053.19"/>
      <w:bookmarkEnd w:id="32"/>
      <w:r w:rsidRPr="00AB4736">
        <w:rPr>
          <w:rFonts w:eastAsia="Times New Roman"/>
          <w:color w:val="auto"/>
        </w:rPr>
        <w:t xml:space="preserve"> Any change in the form of conducting the taxpayer’s trade or business so long as the property is retained in such trade or business as qualified child-care property and the taxpayer retains a substantial interest in such trade or business; or</w:t>
      </w:r>
    </w:p>
    <w:p w14:paraId="76D311F7" w14:textId="77777777" w:rsidR="005306BD" w:rsidRPr="00AB4736" w:rsidRDefault="005306BD" w:rsidP="00A51FB3">
      <w:pPr>
        <w:pStyle w:val="SectionBody"/>
        <w:rPr>
          <w:rFonts w:eastAsia="Times New Roman"/>
          <w:color w:val="auto"/>
        </w:rPr>
      </w:pPr>
      <w:bookmarkStart w:id="33" w:name="48-7-40.6(a)(8)(E)"/>
      <w:bookmarkEnd w:id="33"/>
      <w:r w:rsidRPr="00AB4736">
        <w:rPr>
          <w:rFonts w:eastAsia="Times New Roman"/>
          <w:color w:val="auto"/>
        </w:rPr>
        <w:t>(E)</w:t>
      </w:r>
      <w:bookmarkStart w:id="34" w:name="SLCODGL:2053.20"/>
      <w:bookmarkEnd w:id="34"/>
      <w:r w:rsidRPr="00AB4736">
        <w:rPr>
          <w:rFonts w:eastAsia="Times New Roman"/>
          <w:color w:val="auto"/>
        </w:rPr>
        <w:t xml:space="preserve"> Any accident or casualty.</w:t>
      </w:r>
    </w:p>
    <w:p w14:paraId="1A653103" w14:textId="02464470" w:rsidR="005306BD" w:rsidRPr="00AB4736" w:rsidRDefault="005306BD" w:rsidP="00A51FB3">
      <w:pPr>
        <w:pStyle w:val="SectionBody"/>
        <w:rPr>
          <w:rFonts w:eastAsia="Times New Roman"/>
          <w:color w:val="auto"/>
        </w:rPr>
      </w:pPr>
      <w:bookmarkStart w:id="35" w:name="48-7-40.6(a)(9)"/>
      <w:bookmarkEnd w:id="35"/>
      <w:r w:rsidRPr="00AB4736">
        <w:rPr>
          <w:rFonts w:eastAsia="Times New Roman"/>
          <w:strike/>
          <w:color w:val="auto"/>
        </w:rPr>
        <w:t>(10)</w:t>
      </w:r>
      <w:bookmarkStart w:id="36" w:name="SLCODGL:2053.21"/>
      <w:bookmarkEnd w:id="36"/>
      <w:r w:rsidRPr="00AB4736">
        <w:rPr>
          <w:rFonts w:eastAsia="Times New Roman"/>
          <w:color w:val="auto"/>
        </w:rPr>
        <w:t xml:space="preserve"> </w:t>
      </w:r>
      <w:r w:rsidRPr="00AB4736">
        <w:rPr>
          <w:rFonts w:eastAsia="Times New Roman"/>
          <w:color w:val="auto"/>
          <w:u w:val="single"/>
        </w:rPr>
        <w:t>(11)</w:t>
      </w:r>
      <w:r w:rsidRPr="00AB4736">
        <w:rPr>
          <w:rFonts w:eastAsia="Times New Roman"/>
          <w:color w:val="auto"/>
        </w:rPr>
        <w:t xml:space="preserve"> “Recapture percentage” refers to the applicable percentage set forth in the following table:</w:t>
      </w:r>
    </w:p>
    <w:p w14:paraId="3715F25E" w14:textId="77777777" w:rsidR="005306BD" w:rsidRPr="00AB4736" w:rsidRDefault="005306BD" w:rsidP="00A51FB3">
      <w:pPr>
        <w:pStyle w:val="SectionBody"/>
        <w:rPr>
          <w:rFonts w:eastAsia="Times New Roman"/>
          <w:color w:val="auto"/>
        </w:rPr>
      </w:pPr>
      <w:r w:rsidRPr="00AB4736">
        <w:rPr>
          <w:rFonts w:eastAsia="Times New Roman"/>
          <w:color w:val="auto"/>
        </w:rPr>
        <w:t>If the recapture event occurs within-The recapture percentage is:</w:t>
      </w:r>
    </w:p>
    <w:p w14:paraId="5FFFD56A" w14:textId="77777777" w:rsidR="005306BD" w:rsidRPr="00AB4736" w:rsidRDefault="005306BD" w:rsidP="00A51FB3">
      <w:pPr>
        <w:pStyle w:val="SectionBody"/>
        <w:rPr>
          <w:rFonts w:eastAsia="Times New Roman"/>
          <w:color w:val="auto"/>
        </w:rPr>
      </w:pPr>
      <w:r w:rsidRPr="00AB4736">
        <w:rPr>
          <w:rFonts w:eastAsia="Times New Roman"/>
          <w:color w:val="auto"/>
        </w:rPr>
        <w:t>Five full years after the qualified child-care property is</w:t>
      </w:r>
    </w:p>
    <w:p w14:paraId="74AB3878" w14:textId="77777777" w:rsidR="005306BD" w:rsidRPr="00AB4736" w:rsidRDefault="005306BD" w:rsidP="00A51FB3">
      <w:pPr>
        <w:pStyle w:val="SectionBody"/>
        <w:rPr>
          <w:rFonts w:eastAsia="Times New Roman"/>
          <w:color w:val="auto"/>
        </w:rPr>
      </w:pPr>
      <w:r w:rsidRPr="00AB4736">
        <w:rPr>
          <w:rFonts w:eastAsia="Times New Roman"/>
          <w:color w:val="auto"/>
        </w:rPr>
        <w:t>placed in service .......................................................100</w:t>
      </w:r>
    </w:p>
    <w:p w14:paraId="67A24230" w14:textId="77777777" w:rsidR="005306BD" w:rsidRPr="00AB4736" w:rsidRDefault="005306BD" w:rsidP="00A51FB3">
      <w:pPr>
        <w:pStyle w:val="SectionBody"/>
        <w:rPr>
          <w:rFonts w:eastAsia="Times New Roman"/>
          <w:color w:val="auto"/>
        </w:rPr>
      </w:pPr>
      <w:r w:rsidRPr="00AB4736">
        <w:rPr>
          <w:rFonts w:eastAsia="Times New Roman"/>
          <w:color w:val="auto"/>
        </w:rPr>
        <w:t>The sixth full year after the qualified child-care property is</w:t>
      </w:r>
    </w:p>
    <w:p w14:paraId="56D2092C" w14:textId="77777777" w:rsidR="005306BD" w:rsidRPr="00AB4736" w:rsidRDefault="005306BD" w:rsidP="00A51FB3">
      <w:pPr>
        <w:pStyle w:val="SectionBody"/>
        <w:rPr>
          <w:rFonts w:eastAsia="Times New Roman"/>
          <w:color w:val="auto"/>
        </w:rPr>
      </w:pPr>
      <w:r w:rsidRPr="00AB4736">
        <w:rPr>
          <w:rFonts w:eastAsia="Times New Roman"/>
          <w:color w:val="auto"/>
        </w:rPr>
        <w:t>placed in service ........................................................90</w:t>
      </w:r>
    </w:p>
    <w:p w14:paraId="52B6BFBD" w14:textId="77777777" w:rsidR="005306BD" w:rsidRPr="00AB4736" w:rsidRDefault="005306BD" w:rsidP="00A51FB3">
      <w:pPr>
        <w:pStyle w:val="SectionBody"/>
        <w:rPr>
          <w:rFonts w:eastAsia="Times New Roman"/>
          <w:color w:val="auto"/>
        </w:rPr>
      </w:pPr>
      <w:r w:rsidRPr="00AB4736">
        <w:rPr>
          <w:rFonts w:eastAsia="Times New Roman"/>
          <w:color w:val="auto"/>
        </w:rPr>
        <w:t>The seventh full year after the qualified child-care property</w:t>
      </w:r>
    </w:p>
    <w:p w14:paraId="47E69EEF" w14:textId="77777777" w:rsidR="005306BD" w:rsidRPr="00AB4736" w:rsidRDefault="005306BD" w:rsidP="00A51FB3">
      <w:pPr>
        <w:pStyle w:val="SectionBody"/>
        <w:rPr>
          <w:rFonts w:eastAsia="Times New Roman"/>
          <w:color w:val="auto"/>
        </w:rPr>
      </w:pPr>
      <w:r w:rsidRPr="00AB4736">
        <w:rPr>
          <w:rFonts w:eastAsia="Times New Roman"/>
          <w:color w:val="auto"/>
        </w:rPr>
        <w:t>is placed in service .....................................................80</w:t>
      </w:r>
    </w:p>
    <w:p w14:paraId="756C1887" w14:textId="77777777" w:rsidR="005306BD" w:rsidRPr="00AB4736" w:rsidRDefault="005306BD" w:rsidP="00A51FB3">
      <w:pPr>
        <w:pStyle w:val="SectionBody"/>
        <w:rPr>
          <w:rFonts w:eastAsia="Times New Roman"/>
          <w:color w:val="auto"/>
        </w:rPr>
      </w:pPr>
      <w:r w:rsidRPr="00AB4736">
        <w:rPr>
          <w:rFonts w:eastAsia="Times New Roman"/>
          <w:color w:val="auto"/>
        </w:rPr>
        <w:t>The eighth full year after the qualified child-care property is</w:t>
      </w:r>
    </w:p>
    <w:p w14:paraId="4EF5EDDA" w14:textId="77777777" w:rsidR="005306BD" w:rsidRPr="00AB4736" w:rsidRDefault="005306BD" w:rsidP="00A51FB3">
      <w:pPr>
        <w:pStyle w:val="SectionBody"/>
        <w:rPr>
          <w:rFonts w:eastAsia="Times New Roman"/>
          <w:color w:val="auto"/>
        </w:rPr>
      </w:pPr>
      <w:r w:rsidRPr="00AB4736">
        <w:rPr>
          <w:rFonts w:eastAsia="Times New Roman"/>
          <w:color w:val="auto"/>
        </w:rPr>
        <w:t>placed in service ........................................................70</w:t>
      </w:r>
    </w:p>
    <w:p w14:paraId="4BB292F2" w14:textId="77777777" w:rsidR="005306BD" w:rsidRPr="00AB4736" w:rsidRDefault="005306BD" w:rsidP="00A51FB3">
      <w:pPr>
        <w:pStyle w:val="SectionBody"/>
        <w:rPr>
          <w:rFonts w:eastAsia="Times New Roman"/>
          <w:color w:val="auto"/>
        </w:rPr>
      </w:pPr>
      <w:r w:rsidRPr="00AB4736">
        <w:rPr>
          <w:rFonts w:eastAsia="Times New Roman"/>
          <w:color w:val="auto"/>
        </w:rPr>
        <w:t>The ninth full year after the qualified child-care property is</w:t>
      </w:r>
    </w:p>
    <w:p w14:paraId="1CBC2416" w14:textId="77777777" w:rsidR="005306BD" w:rsidRPr="00AB4736" w:rsidRDefault="005306BD" w:rsidP="00A51FB3">
      <w:pPr>
        <w:pStyle w:val="SectionBody"/>
        <w:rPr>
          <w:rFonts w:eastAsia="Times New Roman"/>
          <w:color w:val="auto"/>
        </w:rPr>
      </w:pPr>
      <w:r w:rsidRPr="00AB4736">
        <w:rPr>
          <w:rFonts w:eastAsia="Times New Roman"/>
          <w:color w:val="auto"/>
        </w:rPr>
        <w:t>placed in service ........................................................60</w:t>
      </w:r>
    </w:p>
    <w:p w14:paraId="78C10F1E" w14:textId="77777777" w:rsidR="005306BD" w:rsidRPr="00AB4736" w:rsidRDefault="005306BD" w:rsidP="00A51FB3">
      <w:pPr>
        <w:pStyle w:val="SectionBody"/>
        <w:rPr>
          <w:rFonts w:eastAsia="Times New Roman"/>
          <w:color w:val="auto"/>
        </w:rPr>
      </w:pPr>
      <w:r w:rsidRPr="00AB4736">
        <w:rPr>
          <w:rFonts w:eastAsia="Times New Roman"/>
          <w:color w:val="auto"/>
        </w:rPr>
        <w:t>The tenth full year after the qualified child-care property is</w:t>
      </w:r>
    </w:p>
    <w:p w14:paraId="216DFBC5" w14:textId="77777777" w:rsidR="005306BD" w:rsidRPr="00AB4736" w:rsidRDefault="005306BD" w:rsidP="00A51FB3">
      <w:pPr>
        <w:pStyle w:val="SectionBody"/>
        <w:rPr>
          <w:rFonts w:eastAsia="Times New Roman"/>
          <w:color w:val="auto"/>
        </w:rPr>
      </w:pPr>
      <w:r w:rsidRPr="00AB4736">
        <w:rPr>
          <w:rFonts w:eastAsia="Times New Roman"/>
          <w:color w:val="auto"/>
        </w:rPr>
        <w:t>placed in service ........................................................50</w:t>
      </w:r>
    </w:p>
    <w:p w14:paraId="13607070" w14:textId="77777777" w:rsidR="005306BD" w:rsidRPr="00AB4736" w:rsidRDefault="005306BD" w:rsidP="00A51FB3">
      <w:pPr>
        <w:pStyle w:val="SectionBody"/>
        <w:rPr>
          <w:rFonts w:eastAsia="Times New Roman"/>
          <w:color w:val="auto"/>
        </w:rPr>
      </w:pPr>
      <w:r w:rsidRPr="00AB4736">
        <w:rPr>
          <w:rFonts w:eastAsia="Times New Roman"/>
          <w:color w:val="auto"/>
        </w:rPr>
        <w:t>The eleventh full year after the qualified child-care property</w:t>
      </w:r>
    </w:p>
    <w:p w14:paraId="75C6312E" w14:textId="77777777" w:rsidR="005306BD" w:rsidRPr="00AB4736" w:rsidRDefault="005306BD" w:rsidP="00A51FB3">
      <w:pPr>
        <w:pStyle w:val="SectionBody"/>
        <w:rPr>
          <w:rFonts w:eastAsia="Times New Roman"/>
          <w:color w:val="auto"/>
        </w:rPr>
      </w:pPr>
      <w:r w:rsidRPr="00AB4736">
        <w:rPr>
          <w:rFonts w:eastAsia="Times New Roman"/>
          <w:color w:val="auto"/>
        </w:rPr>
        <w:t>is placed in service .....................................................40</w:t>
      </w:r>
    </w:p>
    <w:p w14:paraId="4F59B044" w14:textId="77777777" w:rsidR="005306BD" w:rsidRPr="00AB4736" w:rsidRDefault="005306BD" w:rsidP="00A51FB3">
      <w:pPr>
        <w:pStyle w:val="SectionBody"/>
        <w:rPr>
          <w:rFonts w:eastAsia="Times New Roman"/>
          <w:color w:val="auto"/>
        </w:rPr>
      </w:pPr>
      <w:r w:rsidRPr="00AB4736">
        <w:rPr>
          <w:rFonts w:eastAsia="Times New Roman"/>
          <w:color w:val="auto"/>
        </w:rPr>
        <w:t>The twelfth full year after the qualified child-care property</w:t>
      </w:r>
    </w:p>
    <w:p w14:paraId="3ECBF29A" w14:textId="77777777" w:rsidR="005306BD" w:rsidRPr="00AB4736" w:rsidRDefault="005306BD" w:rsidP="00A51FB3">
      <w:pPr>
        <w:pStyle w:val="SectionBody"/>
        <w:rPr>
          <w:rFonts w:eastAsia="Times New Roman"/>
          <w:color w:val="auto"/>
        </w:rPr>
      </w:pPr>
      <w:r w:rsidRPr="00AB4736">
        <w:rPr>
          <w:rFonts w:eastAsia="Times New Roman"/>
          <w:color w:val="auto"/>
        </w:rPr>
        <w:t>is placed in service .....................................................30</w:t>
      </w:r>
    </w:p>
    <w:p w14:paraId="3126C5E1" w14:textId="77777777" w:rsidR="005306BD" w:rsidRPr="00AB4736" w:rsidRDefault="005306BD" w:rsidP="00A51FB3">
      <w:pPr>
        <w:pStyle w:val="SectionBody"/>
        <w:rPr>
          <w:rFonts w:eastAsia="Times New Roman"/>
          <w:color w:val="auto"/>
        </w:rPr>
      </w:pPr>
      <w:r w:rsidRPr="00AB4736">
        <w:rPr>
          <w:rFonts w:eastAsia="Times New Roman"/>
          <w:color w:val="auto"/>
        </w:rPr>
        <w:t>The thirteenth full year after the qualified child-care</w:t>
      </w:r>
    </w:p>
    <w:p w14:paraId="37820A9A" w14:textId="77777777" w:rsidR="005306BD" w:rsidRPr="00AB4736" w:rsidRDefault="005306BD" w:rsidP="00A51FB3">
      <w:pPr>
        <w:pStyle w:val="SectionBody"/>
        <w:rPr>
          <w:rFonts w:eastAsia="Times New Roman"/>
          <w:color w:val="auto"/>
        </w:rPr>
      </w:pPr>
      <w:r w:rsidRPr="00AB4736">
        <w:rPr>
          <w:rFonts w:eastAsia="Times New Roman"/>
          <w:color w:val="auto"/>
        </w:rPr>
        <w:t>property is placed in service ............................................20</w:t>
      </w:r>
    </w:p>
    <w:p w14:paraId="12DD82D3" w14:textId="77777777" w:rsidR="005306BD" w:rsidRPr="00AB4736" w:rsidRDefault="005306BD" w:rsidP="00A51FB3">
      <w:pPr>
        <w:pStyle w:val="SectionBody"/>
        <w:rPr>
          <w:rFonts w:eastAsia="Times New Roman"/>
          <w:color w:val="auto"/>
        </w:rPr>
      </w:pPr>
      <w:r w:rsidRPr="00AB4736">
        <w:rPr>
          <w:rFonts w:eastAsia="Times New Roman"/>
          <w:color w:val="auto"/>
        </w:rPr>
        <w:t>The fourteenth full year after the qualified child-care</w:t>
      </w:r>
    </w:p>
    <w:p w14:paraId="56F09A10" w14:textId="77777777" w:rsidR="005306BD" w:rsidRPr="00AB4736" w:rsidRDefault="005306BD" w:rsidP="00A51FB3">
      <w:pPr>
        <w:pStyle w:val="SectionBody"/>
        <w:rPr>
          <w:rFonts w:eastAsia="Times New Roman"/>
          <w:color w:val="auto"/>
        </w:rPr>
      </w:pPr>
      <w:r w:rsidRPr="00AB4736">
        <w:rPr>
          <w:rFonts w:eastAsia="Times New Roman"/>
          <w:color w:val="auto"/>
        </w:rPr>
        <w:t>property is placed in service ............................................10</w:t>
      </w:r>
    </w:p>
    <w:p w14:paraId="6753479A" w14:textId="77777777" w:rsidR="005306BD" w:rsidRPr="00AB4736" w:rsidRDefault="005306BD" w:rsidP="00A51FB3">
      <w:pPr>
        <w:pStyle w:val="SectionBody"/>
        <w:rPr>
          <w:rFonts w:eastAsia="Times New Roman"/>
          <w:color w:val="auto"/>
        </w:rPr>
      </w:pPr>
      <w:r w:rsidRPr="00AB4736">
        <w:rPr>
          <w:rFonts w:eastAsia="Times New Roman"/>
          <w:color w:val="auto"/>
        </w:rPr>
        <w:t>Any period after the close of the fourteenth full year after</w:t>
      </w:r>
    </w:p>
    <w:p w14:paraId="00EEDF74" w14:textId="77777777" w:rsidR="005306BD" w:rsidRPr="00AB4736" w:rsidRDefault="005306BD" w:rsidP="00A51FB3">
      <w:pPr>
        <w:pStyle w:val="SectionBody"/>
        <w:rPr>
          <w:rFonts w:eastAsia="Times New Roman"/>
          <w:color w:val="auto"/>
        </w:rPr>
      </w:pPr>
      <w:r w:rsidRPr="00AB4736">
        <w:rPr>
          <w:rFonts w:eastAsia="Times New Roman"/>
          <w:color w:val="auto"/>
        </w:rPr>
        <w:t>the qualified child-care property is placed in service ....................0</w:t>
      </w:r>
    </w:p>
    <w:p w14:paraId="66FF05F5" w14:textId="5E91CDD1" w:rsidR="005306BD" w:rsidRPr="00AB4736" w:rsidRDefault="005306BD" w:rsidP="00A51FB3">
      <w:pPr>
        <w:pStyle w:val="SectionBody"/>
        <w:rPr>
          <w:rFonts w:eastAsia="Times New Roman"/>
          <w:color w:val="auto"/>
        </w:rPr>
      </w:pPr>
      <w:bookmarkStart w:id="37" w:name="48-7-40.6(a)(10)"/>
      <w:bookmarkEnd w:id="37"/>
      <w:r w:rsidRPr="00AB4736">
        <w:rPr>
          <w:rFonts w:eastAsia="Times New Roman"/>
          <w:strike/>
          <w:color w:val="auto"/>
        </w:rPr>
        <w:t>(11)</w:t>
      </w:r>
      <w:bookmarkStart w:id="38" w:name="SLCODGL:2053.22"/>
      <w:bookmarkEnd w:id="38"/>
      <w:r w:rsidRPr="00AB4736">
        <w:rPr>
          <w:rFonts w:eastAsia="Times New Roman"/>
          <w:color w:val="auto"/>
        </w:rPr>
        <w:t xml:space="preserve"> </w:t>
      </w:r>
      <w:r w:rsidRPr="00AB4736">
        <w:rPr>
          <w:rFonts w:eastAsia="Times New Roman"/>
          <w:color w:val="auto"/>
          <w:u w:val="single"/>
        </w:rPr>
        <w:t>(12)</w:t>
      </w:r>
      <w:r w:rsidRPr="00AB4736">
        <w:rPr>
          <w:rFonts w:eastAsia="Times New Roman"/>
          <w:color w:val="auto"/>
        </w:rPr>
        <w:t xml:space="preserve"> “Recapture year” means the taxable year in which a recapture event occurs with respect to qualified child-care property.</w:t>
      </w:r>
    </w:p>
    <w:p w14:paraId="60947746" w14:textId="77777777" w:rsidR="005306BD" w:rsidRPr="00AB4736" w:rsidRDefault="005306BD" w:rsidP="00A51FB3">
      <w:pPr>
        <w:pStyle w:val="SectionBody"/>
        <w:rPr>
          <w:rFonts w:eastAsia="Times New Roman"/>
          <w:color w:val="auto"/>
        </w:rPr>
      </w:pPr>
      <w:bookmarkStart w:id="39" w:name="48-7-40.6(b)"/>
      <w:bookmarkStart w:id="40" w:name="48-7-40.6(d)"/>
      <w:bookmarkEnd w:id="39"/>
      <w:bookmarkEnd w:id="40"/>
      <w:r w:rsidRPr="00AB4736">
        <w:rPr>
          <w:rFonts w:eastAsia="Times New Roman"/>
          <w:color w:val="auto"/>
        </w:rPr>
        <w:t>(b)</w:t>
      </w:r>
      <w:bookmarkStart w:id="41" w:name="SLCODGL:2053.28"/>
      <w:bookmarkEnd w:id="41"/>
      <w:r w:rsidRPr="00AB4736">
        <w:rPr>
          <w:rFonts w:eastAsia="Times New Roman"/>
          <w:color w:val="auto"/>
        </w:rPr>
        <w:t xml:space="preserve"> </w:t>
      </w:r>
      <w:r w:rsidRPr="00AB4736">
        <w:rPr>
          <w:rFonts w:eastAsia="Times New Roman"/>
          <w:i/>
          <w:color w:val="auto"/>
        </w:rPr>
        <w:t>Credit for capital investment in child-care property</w:t>
      </w:r>
      <w:r w:rsidRPr="00AB4736">
        <w:rPr>
          <w:rFonts w:eastAsia="Times New Roman"/>
          <w:iCs/>
          <w:color w:val="auto"/>
        </w:rPr>
        <w:t xml:space="preserve">. — </w:t>
      </w:r>
      <w:r w:rsidRPr="00AB4736">
        <w:rPr>
          <w:rFonts w:eastAsia="Times New Roman"/>
          <w:color w:val="auto"/>
        </w:rPr>
        <w:t>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50 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w:t>
      </w:r>
      <w:bookmarkStart w:id="42" w:name="48-7-40.6(e)"/>
      <w:bookmarkEnd w:id="42"/>
    </w:p>
    <w:p w14:paraId="3AB0939E" w14:textId="77777777" w:rsidR="005306BD" w:rsidRPr="00AB4736" w:rsidRDefault="005306BD" w:rsidP="00A51FB3">
      <w:pPr>
        <w:pStyle w:val="SectionBody"/>
        <w:rPr>
          <w:rFonts w:eastAsia="Times New Roman"/>
          <w:color w:val="auto"/>
        </w:rPr>
      </w:pPr>
      <w:r w:rsidRPr="00AB4736">
        <w:rPr>
          <w:rFonts w:eastAsia="Times New Roman"/>
          <w:color w:val="auto"/>
        </w:rPr>
        <w:t xml:space="preserve">(c) </w:t>
      </w:r>
      <w:bookmarkStart w:id="43" w:name="SLCODGL:2053.29"/>
      <w:bookmarkEnd w:id="43"/>
      <w:r w:rsidRPr="00AB4736">
        <w:rPr>
          <w:rFonts w:eastAsia="Times New Roman"/>
          <w:i/>
          <w:color w:val="auto"/>
        </w:rPr>
        <w:t>Limitations on capital investment credit</w:t>
      </w:r>
      <w:r w:rsidRPr="00AB4736">
        <w:rPr>
          <w:rFonts w:eastAsia="Times New Roman"/>
          <w:iCs/>
          <w:color w:val="auto"/>
        </w:rPr>
        <w:t xml:space="preserve">. — </w:t>
      </w:r>
      <w:r w:rsidRPr="00AB4736">
        <w:rPr>
          <w:rFonts w:eastAsia="Times New Roman"/>
          <w:color w:val="auto"/>
        </w:rPr>
        <w:t>The tax credit allowable under subsection (b) of this section shall be subject to the following conditions and limitations:</w:t>
      </w:r>
    </w:p>
    <w:p w14:paraId="231BF06A" w14:textId="77777777" w:rsidR="005306BD" w:rsidRPr="00AB4736" w:rsidRDefault="005306BD" w:rsidP="00A51FB3">
      <w:pPr>
        <w:pStyle w:val="SectionBody"/>
        <w:rPr>
          <w:rFonts w:eastAsia="Times New Roman"/>
          <w:color w:val="auto"/>
        </w:rPr>
      </w:pPr>
      <w:bookmarkStart w:id="44" w:name="48-7-40.6(e)(1)"/>
      <w:bookmarkEnd w:id="44"/>
      <w:r w:rsidRPr="00AB4736">
        <w:rPr>
          <w:rFonts w:eastAsia="Times New Roman"/>
          <w:color w:val="auto"/>
        </w:rPr>
        <w:t>(1)</w:t>
      </w:r>
      <w:bookmarkStart w:id="45" w:name="SLCODGL:2053.30"/>
      <w:bookmarkEnd w:id="45"/>
      <w:r w:rsidRPr="00AB4736">
        <w:rPr>
          <w:rFonts w:eastAsia="Times New Roman"/>
          <w:color w:val="auto"/>
        </w:rPr>
        <w:t xml:space="preserve">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01E2C816" w14:textId="77777777" w:rsidR="005306BD" w:rsidRPr="00AB4736" w:rsidRDefault="005306BD" w:rsidP="00A51FB3">
      <w:pPr>
        <w:pStyle w:val="SectionBody"/>
        <w:rPr>
          <w:rFonts w:eastAsia="Times New Roman"/>
          <w:color w:val="auto"/>
        </w:rPr>
      </w:pPr>
      <w:bookmarkStart w:id="46" w:name="48-7-40.6(e)(2)"/>
      <w:bookmarkEnd w:id="46"/>
      <w:r w:rsidRPr="00AB4736">
        <w:rPr>
          <w:rFonts w:eastAsia="Times New Roman"/>
          <w:color w:val="auto"/>
        </w:rPr>
        <w:t>(2)</w:t>
      </w:r>
      <w:bookmarkStart w:id="47" w:name="SLCODGL:2053.31"/>
      <w:bookmarkEnd w:id="47"/>
      <w:r w:rsidRPr="00AB4736">
        <w:rPr>
          <w:rFonts w:eastAsia="Times New Roman"/>
          <w:color w:val="auto"/>
        </w:rPr>
        <w:t xml:space="preserve"> In no event shall the amount of any such tax credit allowed under subsection (b)</w:t>
      </w:r>
      <w:r w:rsidRPr="00AB4736">
        <w:rPr>
          <w:color w:val="auto"/>
        </w:rPr>
        <w:t xml:space="preserve"> </w:t>
      </w:r>
      <w:r w:rsidRPr="00AB4736">
        <w:rPr>
          <w:rFonts w:eastAsia="Times New Roman"/>
          <w:color w:val="auto"/>
        </w:rPr>
        <w:t>of this section, when combined with any such tax credit allowed under subsection (e)</w:t>
      </w:r>
      <w:r w:rsidRPr="00AB4736">
        <w:rPr>
          <w:color w:val="auto"/>
        </w:rPr>
        <w:t xml:space="preserve"> </w:t>
      </w:r>
      <w:r w:rsidRPr="00AB4736">
        <w:rPr>
          <w:rFonts w:eastAsia="Times New Roman"/>
          <w:color w:val="auto"/>
        </w:rPr>
        <w:t>of this section, including any carryover of such credits from a prior taxable year, exceed 100 percent of the taxpayer’s income tax liability as determined without regard to any other credits; and</w:t>
      </w:r>
    </w:p>
    <w:p w14:paraId="7422A298" w14:textId="77777777" w:rsidR="005306BD" w:rsidRPr="00AB4736" w:rsidRDefault="005306BD" w:rsidP="00A51FB3">
      <w:pPr>
        <w:pStyle w:val="SectionBody"/>
        <w:rPr>
          <w:rFonts w:eastAsia="Times New Roman"/>
          <w:color w:val="auto"/>
        </w:rPr>
      </w:pPr>
      <w:bookmarkStart w:id="48" w:name="48-7-40.6(e)(3)"/>
      <w:bookmarkEnd w:id="48"/>
      <w:r w:rsidRPr="00AB4736">
        <w:rPr>
          <w:rFonts w:eastAsia="Times New Roman"/>
          <w:color w:val="auto"/>
        </w:rPr>
        <w:t>(3)</w:t>
      </w:r>
      <w:bookmarkStart w:id="49" w:name="SLCODGL:2053.32"/>
      <w:bookmarkEnd w:id="49"/>
      <w:r w:rsidRPr="00AB4736">
        <w:rPr>
          <w:rFonts w:eastAsia="Times New Roman"/>
          <w:color w:val="auto"/>
        </w:rPr>
        <w:t xml:space="preserve"> For every year in which a taxpayer claims such credit, the taxpayer shall attach a schedule to the taxpayer’s West Virginia income tax return setting forth the following information with respect to such tax credit:</w:t>
      </w:r>
    </w:p>
    <w:p w14:paraId="6FC4A0AC" w14:textId="77777777" w:rsidR="005306BD" w:rsidRPr="00AB4736" w:rsidRDefault="005306BD" w:rsidP="00A51FB3">
      <w:pPr>
        <w:pStyle w:val="SectionBody"/>
        <w:rPr>
          <w:rFonts w:eastAsia="Times New Roman"/>
          <w:color w:val="auto"/>
        </w:rPr>
      </w:pPr>
      <w:bookmarkStart w:id="50" w:name="48-7-40.6(e)(3)(A)"/>
      <w:bookmarkEnd w:id="50"/>
      <w:r w:rsidRPr="00AB4736">
        <w:rPr>
          <w:rFonts w:eastAsia="Times New Roman"/>
          <w:color w:val="auto"/>
        </w:rPr>
        <w:t>(A)</w:t>
      </w:r>
      <w:bookmarkStart w:id="51" w:name="SLCODGL:2053.33"/>
      <w:bookmarkEnd w:id="51"/>
      <w:r w:rsidRPr="00AB4736">
        <w:rPr>
          <w:rFonts w:eastAsia="Times New Roman"/>
          <w:color w:val="auto"/>
        </w:rPr>
        <w:t xml:space="preserve"> A description of the child-care facility;</w:t>
      </w:r>
    </w:p>
    <w:p w14:paraId="6554D633" w14:textId="77777777" w:rsidR="005306BD" w:rsidRPr="00AB4736" w:rsidRDefault="005306BD" w:rsidP="00A51FB3">
      <w:pPr>
        <w:pStyle w:val="SectionBody"/>
        <w:rPr>
          <w:rFonts w:eastAsia="Times New Roman"/>
          <w:color w:val="auto"/>
        </w:rPr>
      </w:pPr>
      <w:bookmarkStart w:id="52" w:name="48-7-40.6(e)(3)(B)"/>
      <w:bookmarkEnd w:id="52"/>
      <w:r w:rsidRPr="00AB4736">
        <w:rPr>
          <w:rFonts w:eastAsia="Times New Roman"/>
          <w:color w:val="auto"/>
        </w:rPr>
        <w:t>(B)</w:t>
      </w:r>
      <w:bookmarkStart w:id="53" w:name="SLCODGL:2053.34"/>
      <w:bookmarkEnd w:id="53"/>
      <w:r w:rsidRPr="00AB4736">
        <w:rPr>
          <w:rFonts w:eastAsia="Times New Roman"/>
          <w:color w:val="auto"/>
        </w:rPr>
        <w:t xml:space="preserve"> The amount of qualified child-care property acquired during the taxable year and the cost of such property;</w:t>
      </w:r>
    </w:p>
    <w:p w14:paraId="02AA5C24" w14:textId="77777777" w:rsidR="005306BD" w:rsidRPr="00AB4736" w:rsidRDefault="005306BD" w:rsidP="00A51FB3">
      <w:pPr>
        <w:pStyle w:val="SectionBody"/>
        <w:rPr>
          <w:rFonts w:eastAsia="Times New Roman"/>
          <w:color w:val="auto"/>
        </w:rPr>
      </w:pPr>
      <w:bookmarkStart w:id="54" w:name="48-7-40.6(e)(3)(C)"/>
      <w:bookmarkEnd w:id="54"/>
      <w:r w:rsidRPr="00AB4736">
        <w:rPr>
          <w:rFonts w:eastAsia="Times New Roman"/>
          <w:color w:val="auto"/>
        </w:rPr>
        <w:t>(C)</w:t>
      </w:r>
      <w:bookmarkStart w:id="55" w:name="SLCODGL:2053.35"/>
      <w:bookmarkEnd w:id="55"/>
      <w:r w:rsidRPr="00AB4736">
        <w:rPr>
          <w:rFonts w:eastAsia="Times New Roman"/>
          <w:color w:val="auto"/>
        </w:rPr>
        <w:t xml:space="preserve"> The amount of tax credit claimed for the taxable year;</w:t>
      </w:r>
    </w:p>
    <w:p w14:paraId="5C9D7CFC" w14:textId="77777777" w:rsidR="005306BD" w:rsidRPr="00AB4736" w:rsidRDefault="005306BD" w:rsidP="00A51FB3">
      <w:pPr>
        <w:pStyle w:val="SectionBody"/>
        <w:rPr>
          <w:rFonts w:eastAsia="Times New Roman"/>
          <w:color w:val="auto"/>
        </w:rPr>
      </w:pPr>
      <w:bookmarkStart w:id="56" w:name="48-7-40.6(e)(3)(D)"/>
      <w:bookmarkEnd w:id="56"/>
      <w:r w:rsidRPr="00AB4736">
        <w:rPr>
          <w:rFonts w:eastAsia="Times New Roman"/>
          <w:color w:val="auto"/>
        </w:rPr>
        <w:t>(D)</w:t>
      </w:r>
      <w:bookmarkStart w:id="57" w:name="SLCODGL:2053.36"/>
      <w:bookmarkEnd w:id="57"/>
      <w:r w:rsidRPr="00AB4736">
        <w:rPr>
          <w:rFonts w:eastAsia="Times New Roman"/>
          <w:color w:val="auto"/>
        </w:rPr>
        <w:t xml:space="preserve"> The amount of qualified child-care property acquired in prior taxable years and the cost of such property;</w:t>
      </w:r>
    </w:p>
    <w:p w14:paraId="20D0BA53" w14:textId="77777777" w:rsidR="005306BD" w:rsidRPr="00AB4736" w:rsidRDefault="005306BD" w:rsidP="00A51FB3">
      <w:pPr>
        <w:pStyle w:val="SectionBody"/>
        <w:rPr>
          <w:rFonts w:eastAsia="Times New Roman"/>
          <w:color w:val="auto"/>
        </w:rPr>
      </w:pPr>
      <w:bookmarkStart w:id="58" w:name="48-7-40.6(e)(3)(E)"/>
      <w:bookmarkEnd w:id="58"/>
      <w:r w:rsidRPr="00AB4736">
        <w:rPr>
          <w:rFonts w:eastAsia="Times New Roman"/>
          <w:color w:val="auto"/>
        </w:rPr>
        <w:t>(E)</w:t>
      </w:r>
      <w:bookmarkStart w:id="59" w:name="SLCODGL:2053.37"/>
      <w:bookmarkEnd w:id="59"/>
      <w:r w:rsidRPr="00AB4736">
        <w:rPr>
          <w:rFonts w:eastAsia="Times New Roman"/>
          <w:color w:val="auto"/>
        </w:rPr>
        <w:t xml:space="preserve"> Any tax credit utilized by the taxpayer in prior taxable years;</w:t>
      </w:r>
    </w:p>
    <w:p w14:paraId="0288C66B" w14:textId="77777777" w:rsidR="005306BD" w:rsidRPr="00AB4736" w:rsidRDefault="005306BD" w:rsidP="00A51FB3">
      <w:pPr>
        <w:pStyle w:val="SectionBody"/>
        <w:rPr>
          <w:rFonts w:eastAsia="Times New Roman"/>
          <w:color w:val="auto"/>
        </w:rPr>
      </w:pPr>
      <w:bookmarkStart w:id="60" w:name="48-7-40.6(e)(3)(F)"/>
      <w:bookmarkEnd w:id="60"/>
      <w:r w:rsidRPr="00AB4736">
        <w:rPr>
          <w:rFonts w:eastAsia="Times New Roman"/>
          <w:color w:val="auto"/>
        </w:rPr>
        <w:t>(F)</w:t>
      </w:r>
      <w:bookmarkStart w:id="61" w:name="SLCODGL:2053.38"/>
      <w:bookmarkEnd w:id="61"/>
      <w:r w:rsidRPr="00AB4736">
        <w:rPr>
          <w:rFonts w:eastAsia="Times New Roman"/>
          <w:color w:val="auto"/>
        </w:rPr>
        <w:t xml:space="preserve"> The amount of tax credit carried over from prior years;</w:t>
      </w:r>
    </w:p>
    <w:p w14:paraId="54309631" w14:textId="77777777" w:rsidR="005306BD" w:rsidRPr="00AB4736" w:rsidRDefault="005306BD" w:rsidP="00A51FB3">
      <w:pPr>
        <w:pStyle w:val="SectionBody"/>
        <w:rPr>
          <w:rFonts w:eastAsia="Times New Roman"/>
          <w:color w:val="auto"/>
        </w:rPr>
      </w:pPr>
      <w:bookmarkStart w:id="62" w:name="48-7-40.6(e)(3)(G)"/>
      <w:bookmarkEnd w:id="62"/>
      <w:r w:rsidRPr="00AB4736">
        <w:rPr>
          <w:rFonts w:eastAsia="Times New Roman"/>
          <w:color w:val="auto"/>
        </w:rPr>
        <w:t>(G)</w:t>
      </w:r>
      <w:bookmarkStart w:id="63" w:name="SLCODGL:2053.39"/>
      <w:bookmarkEnd w:id="63"/>
      <w:r w:rsidRPr="00AB4736">
        <w:rPr>
          <w:rFonts w:eastAsia="Times New Roman"/>
          <w:color w:val="auto"/>
        </w:rPr>
        <w:t xml:space="preserve"> The amount of tax credit utilized by the taxpayer in the current taxable year;</w:t>
      </w:r>
    </w:p>
    <w:p w14:paraId="66FEACCB" w14:textId="77777777" w:rsidR="005306BD" w:rsidRPr="00AB4736" w:rsidRDefault="005306BD" w:rsidP="00A51FB3">
      <w:pPr>
        <w:pStyle w:val="SectionBody"/>
        <w:rPr>
          <w:rFonts w:eastAsia="Times New Roman"/>
          <w:color w:val="auto"/>
        </w:rPr>
      </w:pPr>
      <w:bookmarkStart w:id="64" w:name="48-7-40.6(e)(3)(H)"/>
      <w:bookmarkEnd w:id="64"/>
      <w:r w:rsidRPr="00AB4736">
        <w:rPr>
          <w:rFonts w:eastAsia="Times New Roman"/>
          <w:color w:val="auto"/>
        </w:rPr>
        <w:t>(H)</w:t>
      </w:r>
      <w:bookmarkStart w:id="65" w:name="SLCODGL:2053.40"/>
      <w:bookmarkEnd w:id="65"/>
      <w:r w:rsidRPr="00AB4736">
        <w:rPr>
          <w:rFonts w:eastAsia="Times New Roman"/>
          <w:color w:val="auto"/>
        </w:rPr>
        <w:t xml:space="preserve"> The amount of tax credit to be carried forward to subsequent tax years; and</w:t>
      </w:r>
    </w:p>
    <w:p w14:paraId="5337D42B" w14:textId="77777777" w:rsidR="005306BD" w:rsidRPr="00AB4736" w:rsidRDefault="005306BD" w:rsidP="00A51FB3">
      <w:pPr>
        <w:pStyle w:val="SectionBody"/>
        <w:rPr>
          <w:rFonts w:eastAsia="Times New Roman"/>
          <w:color w:val="auto"/>
        </w:rPr>
      </w:pPr>
      <w:bookmarkStart w:id="66" w:name="48-7-40.6(e)(3)(I)"/>
      <w:bookmarkEnd w:id="66"/>
      <w:r w:rsidRPr="00AB4736">
        <w:rPr>
          <w:rFonts w:eastAsia="Times New Roman"/>
          <w:color w:val="auto"/>
        </w:rPr>
        <w:t>(I)</w:t>
      </w:r>
      <w:bookmarkStart w:id="67" w:name="SLCODGL:2053.41"/>
      <w:bookmarkEnd w:id="67"/>
      <w:r w:rsidRPr="00AB4736">
        <w:rPr>
          <w:rFonts w:eastAsia="Times New Roman"/>
          <w:color w:val="auto"/>
        </w:rPr>
        <w:t xml:space="preserve"> A description of any recapture event occurring during the taxable year, a calculation of the resulting reduction in tax credits allowable for the recapture year and future taxable years, and a calculation of the resulting increase in tax for the recapture year.</w:t>
      </w:r>
      <w:bookmarkStart w:id="68" w:name="48-7-40.6(f)"/>
      <w:bookmarkEnd w:id="68"/>
    </w:p>
    <w:p w14:paraId="1FD34918" w14:textId="77777777" w:rsidR="005306BD" w:rsidRPr="00AB4736" w:rsidRDefault="005306BD" w:rsidP="00A51FB3">
      <w:pPr>
        <w:pStyle w:val="SectionBody"/>
        <w:rPr>
          <w:rFonts w:eastAsia="Times New Roman"/>
          <w:color w:val="auto"/>
        </w:rPr>
      </w:pPr>
      <w:r w:rsidRPr="00AB4736">
        <w:rPr>
          <w:rFonts w:eastAsia="Times New Roman"/>
          <w:color w:val="auto"/>
        </w:rPr>
        <w:t>(d)</w:t>
      </w:r>
      <w:bookmarkStart w:id="69" w:name="SLCODGL:2053.42"/>
      <w:bookmarkEnd w:id="69"/>
      <w:r w:rsidRPr="00AB4736">
        <w:rPr>
          <w:rFonts w:eastAsia="Times New Roman"/>
          <w:color w:val="auto"/>
        </w:rPr>
        <w:t xml:space="preserve"> </w:t>
      </w:r>
      <w:r w:rsidRPr="00AB4736">
        <w:rPr>
          <w:rFonts w:eastAsia="Times New Roman"/>
          <w:i/>
          <w:color w:val="auto"/>
        </w:rPr>
        <w:t>Recapture of credit</w:t>
      </w:r>
      <w:r w:rsidRPr="00AB4736">
        <w:rPr>
          <w:rFonts w:eastAsia="Times New Roman"/>
          <w:iCs/>
          <w:color w:val="auto"/>
        </w:rPr>
        <w:t xml:space="preserve">. — </w:t>
      </w:r>
      <w:r w:rsidRPr="00AB4736">
        <w:rPr>
          <w:rFonts w:eastAsia="Times New Roman"/>
          <w:color w:val="auto"/>
        </w:rPr>
        <w:t>If a recapture event occurs with respect to qualified child-care property:</w:t>
      </w:r>
    </w:p>
    <w:p w14:paraId="07A7DE89" w14:textId="77777777" w:rsidR="005306BD" w:rsidRPr="00AB4736" w:rsidRDefault="005306BD" w:rsidP="00A51FB3">
      <w:pPr>
        <w:pStyle w:val="SectionBody"/>
        <w:rPr>
          <w:rFonts w:eastAsia="Times New Roman"/>
          <w:color w:val="auto"/>
        </w:rPr>
      </w:pPr>
      <w:bookmarkStart w:id="70" w:name="48-7-40.6(f)(1)"/>
      <w:bookmarkEnd w:id="70"/>
      <w:r w:rsidRPr="00AB4736">
        <w:rPr>
          <w:rFonts w:eastAsia="Times New Roman"/>
          <w:color w:val="auto"/>
        </w:rPr>
        <w:t>(1)</w:t>
      </w:r>
      <w:bookmarkStart w:id="71" w:name="SLCODGL:2053.43"/>
      <w:bookmarkEnd w:id="71"/>
      <w:r w:rsidRPr="00AB4736">
        <w:rPr>
          <w:rFonts w:eastAsia="Times New Roman"/>
          <w:color w:val="auto"/>
        </w:rPr>
        <w:t xml:space="preserve"> The credit otherwise allowable under subsection (b) of this section with respect to such property for the recapture year and all subsequent taxable years shall be reduced by the applicable recapture percentage; and</w:t>
      </w:r>
    </w:p>
    <w:p w14:paraId="4E10E5D1" w14:textId="77777777" w:rsidR="005306BD" w:rsidRPr="00AB4736" w:rsidRDefault="005306BD" w:rsidP="00A51FB3">
      <w:pPr>
        <w:pStyle w:val="SectionBody"/>
        <w:rPr>
          <w:rFonts w:eastAsia="Times New Roman"/>
          <w:color w:val="auto"/>
        </w:rPr>
      </w:pPr>
      <w:bookmarkStart w:id="72" w:name="48-7-40.6(f)(2)"/>
      <w:bookmarkEnd w:id="72"/>
      <w:r w:rsidRPr="00AB4736">
        <w:rPr>
          <w:rFonts w:eastAsia="Times New Roman"/>
          <w:color w:val="auto"/>
        </w:rPr>
        <w:t>(2)</w:t>
      </w:r>
      <w:bookmarkStart w:id="73" w:name="SLCODGL:2053.44"/>
      <w:bookmarkEnd w:id="73"/>
      <w:r w:rsidRPr="00AB4736">
        <w:rPr>
          <w:rFonts w:eastAsia="Times New Roman"/>
          <w:color w:val="auto"/>
        </w:rPr>
        <w:t xml:space="preserve"> All credits previously claimed with respect to such property under subsection (b) of this section shall be recaptured as follows:</w:t>
      </w:r>
    </w:p>
    <w:p w14:paraId="794D57AB" w14:textId="77777777" w:rsidR="005306BD" w:rsidRPr="00AB4736" w:rsidRDefault="005306BD" w:rsidP="00A51FB3">
      <w:pPr>
        <w:pStyle w:val="SectionBody"/>
        <w:rPr>
          <w:rFonts w:eastAsia="Times New Roman"/>
          <w:color w:val="auto"/>
        </w:rPr>
      </w:pPr>
      <w:bookmarkStart w:id="74" w:name="48-7-40.6(f)(2)(A)"/>
      <w:bookmarkEnd w:id="74"/>
      <w:r w:rsidRPr="00AB4736">
        <w:rPr>
          <w:rFonts w:eastAsia="Times New Roman"/>
          <w:color w:val="auto"/>
        </w:rPr>
        <w:t>(A) Any carryover attributable to such credits pursuant to subdivision (1) of subsection (c) of this section shall be reduced, but not below zero, by the recapture amount;</w:t>
      </w:r>
    </w:p>
    <w:p w14:paraId="272925AC" w14:textId="77777777" w:rsidR="005306BD" w:rsidRPr="00AB4736" w:rsidRDefault="005306BD" w:rsidP="00A51FB3">
      <w:pPr>
        <w:pStyle w:val="SectionBody"/>
        <w:rPr>
          <w:rFonts w:eastAsia="Times New Roman"/>
          <w:color w:val="auto"/>
        </w:rPr>
      </w:pPr>
      <w:r w:rsidRPr="00AB4736">
        <w:rPr>
          <w:rFonts w:eastAsia="Times New Roman"/>
          <w:color w:val="auto"/>
        </w:rPr>
        <w:t>(B)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7096F659" w14:textId="77777777" w:rsidR="005306BD" w:rsidRPr="00AB4736" w:rsidRDefault="005306BD" w:rsidP="00A51FB3">
      <w:pPr>
        <w:pStyle w:val="SectionBody"/>
        <w:rPr>
          <w:rFonts w:eastAsia="Times New Roman"/>
          <w:color w:val="auto"/>
        </w:rPr>
      </w:pPr>
      <w:r w:rsidRPr="00AB4736">
        <w:rPr>
          <w:rFonts w:eastAsia="Times New Roman"/>
          <w:color w:val="auto"/>
        </w:rPr>
        <w:t>(C) The tax imposed pursuant to this article for the recapture year shall be increased by the excess of the recapture amount over the amounts taken into account pursuant to paragraphs (A) and (B) of this subdivision, as applicable.</w:t>
      </w:r>
    </w:p>
    <w:p w14:paraId="6A759D61" w14:textId="77777777" w:rsidR="005306BD" w:rsidRPr="00AB4736" w:rsidRDefault="005306BD" w:rsidP="00A51FB3">
      <w:pPr>
        <w:pStyle w:val="SectionBody"/>
        <w:rPr>
          <w:rFonts w:eastAsia="Times New Roman"/>
          <w:color w:val="auto"/>
        </w:rPr>
      </w:pPr>
      <w:r w:rsidRPr="00AB4736">
        <w:rPr>
          <w:rFonts w:eastAsia="Times New Roman"/>
          <w:color w:val="auto"/>
        </w:rPr>
        <w:t>(e)</w:t>
      </w:r>
      <w:bookmarkStart w:id="75" w:name="SLCODGL:2053.23"/>
      <w:bookmarkEnd w:id="75"/>
      <w:r w:rsidRPr="00AB4736">
        <w:rPr>
          <w:rFonts w:eastAsia="Times New Roman"/>
          <w:color w:val="auto"/>
        </w:rPr>
        <w:t xml:space="preserve"> </w:t>
      </w:r>
      <w:r w:rsidRPr="00AB4736">
        <w:rPr>
          <w:rFonts w:eastAsia="Times New Roman"/>
          <w:i/>
          <w:color w:val="auto"/>
        </w:rPr>
        <w:t>Credit for operating costs</w:t>
      </w:r>
      <w:r w:rsidRPr="00AB4736">
        <w:rPr>
          <w:rFonts w:eastAsia="Times New Roman"/>
          <w:iCs/>
          <w:color w:val="auto"/>
        </w:rPr>
        <w:t xml:space="preserve">. — </w:t>
      </w:r>
      <w:r w:rsidRPr="00AB4736">
        <w:rPr>
          <w:rFonts w:eastAsia="Times New Roman"/>
          <w:color w:val="auto"/>
        </w:rPr>
        <w:t>In addition to the tax credit provided under subsection (b) of this section, a tax credit against the tax imposed under this article shall be granted to an employer who provides or sponsors child care for employees. The amount of the tax credit shall be equal to 50 percent of the cost of operation to the employer less any amounts paid for by employees during a taxable year.</w:t>
      </w:r>
    </w:p>
    <w:p w14:paraId="3D23858E" w14:textId="77777777" w:rsidR="005306BD" w:rsidRPr="00AB4736" w:rsidRDefault="005306BD" w:rsidP="00A51FB3">
      <w:pPr>
        <w:pStyle w:val="SectionBody"/>
        <w:rPr>
          <w:rFonts w:eastAsia="Times New Roman"/>
          <w:color w:val="auto"/>
        </w:rPr>
      </w:pPr>
      <w:bookmarkStart w:id="76" w:name="48-7-40.6(c)"/>
      <w:bookmarkEnd w:id="76"/>
      <w:r w:rsidRPr="00AB4736">
        <w:rPr>
          <w:rFonts w:eastAsia="Times New Roman"/>
          <w:color w:val="auto"/>
        </w:rPr>
        <w:t xml:space="preserve">(f) </w:t>
      </w:r>
      <w:bookmarkStart w:id="77" w:name="SLCODGL:2053.24"/>
      <w:bookmarkEnd w:id="77"/>
      <w:r w:rsidRPr="00AB4736">
        <w:rPr>
          <w:rFonts w:eastAsia="Times New Roman"/>
          <w:i/>
          <w:color w:val="auto"/>
        </w:rPr>
        <w:t>Limitations on credit for operating costs</w:t>
      </w:r>
      <w:r w:rsidRPr="00AB4736">
        <w:rPr>
          <w:rFonts w:eastAsia="Times New Roman"/>
          <w:iCs/>
          <w:color w:val="auto"/>
        </w:rPr>
        <w:t xml:space="preserve">. — </w:t>
      </w:r>
      <w:r w:rsidRPr="00AB4736">
        <w:rPr>
          <w:rFonts w:eastAsia="Times New Roman"/>
          <w:color w:val="auto"/>
        </w:rPr>
        <w:t>The tax credit allowed under subsection (e) of this section shall be subject to the following conditions and limitations:</w:t>
      </w:r>
    </w:p>
    <w:p w14:paraId="16C760F8" w14:textId="77777777" w:rsidR="005306BD" w:rsidRPr="00AB4736" w:rsidRDefault="005306BD" w:rsidP="00A51FB3">
      <w:pPr>
        <w:pStyle w:val="SectionBody"/>
        <w:rPr>
          <w:rFonts w:eastAsia="Times New Roman"/>
          <w:color w:val="auto"/>
        </w:rPr>
      </w:pPr>
      <w:bookmarkStart w:id="78" w:name="48-7-40.6(c)(1)"/>
      <w:bookmarkEnd w:id="78"/>
      <w:r w:rsidRPr="00AB4736">
        <w:rPr>
          <w:rFonts w:eastAsia="Times New Roman"/>
          <w:color w:val="auto"/>
        </w:rPr>
        <w:t>(1)</w:t>
      </w:r>
      <w:bookmarkStart w:id="79" w:name="SLCODGL:2053.25"/>
      <w:bookmarkEnd w:id="79"/>
      <w:r w:rsidRPr="00AB4736">
        <w:rPr>
          <w:rFonts w:eastAsia="Times New Roman"/>
          <w:color w:val="auto"/>
        </w:rPr>
        <w:t xml:space="preserve"> Such credit shall when combined with the credit allowed under subsection (b) of this section shall not exceed 100 percent of the amount of the taxpayer’s income tax liability for the taxable year as determined without regard to any other credits;</w:t>
      </w:r>
    </w:p>
    <w:p w14:paraId="79DFCF66" w14:textId="77777777" w:rsidR="005306BD" w:rsidRPr="00AB4736" w:rsidRDefault="005306BD" w:rsidP="00A51FB3">
      <w:pPr>
        <w:pStyle w:val="SectionBody"/>
        <w:rPr>
          <w:rFonts w:eastAsia="Times New Roman"/>
          <w:color w:val="auto"/>
        </w:rPr>
      </w:pPr>
      <w:bookmarkStart w:id="80" w:name="48-7-40.6(c)(2)"/>
      <w:bookmarkEnd w:id="80"/>
      <w:r w:rsidRPr="00AB4736">
        <w:rPr>
          <w:rFonts w:eastAsia="Times New Roman"/>
          <w:color w:val="auto"/>
        </w:rPr>
        <w:t>(2)</w:t>
      </w:r>
      <w:bookmarkStart w:id="81" w:name="SLCODGL:2053.26"/>
      <w:bookmarkEnd w:id="81"/>
      <w:r w:rsidRPr="00AB4736">
        <w:rPr>
          <w:rFonts w:eastAsia="Times New Roman"/>
          <w:color w:val="auto"/>
        </w:rPr>
        <w:t xml:space="preserve"> Any such credit claimed but not used in any taxable year may be carried forward for five years from the close of the taxable year in which the cost of operation was incurred; and</w:t>
      </w:r>
    </w:p>
    <w:p w14:paraId="1A247CEF" w14:textId="77777777" w:rsidR="005306BD" w:rsidRPr="00AB4736" w:rsidRDefault="005306BD" w:rsidP="00A51FB3">
      <w:pPr>
        <w:pStyle w:val="SectionBody"/>
        <w:rPr>
          <w:rFonts w:eastAsia="Times New Roman"/>
          <w:color w:val="auto"/>
        </w:rPr>
      </w:pPr>
      <w:bookmarkStart w:id="82" w:name="48-7-40.6(c)(3)"/>
      <w:bookmarkEnd w:id="82"/>
      <w:r w:rsidRPr="00AB4736">
        <w:rPr>
          <w:rFonts w:eastAsia="Times New Roman"/>
          <w:color w:val="auto"/>
        </w:rPr>
        <w:t>(3)</w:t>
      </w:r>
      <w:bookmarkStart w:id="83" w:name="SLCODGL:2053.27"/>
      <w:bookmarkEnd w:id="83"/>
      <w:r w:rsidRPr="00AB4736">
        <w:rPr>
          <w:rFonts w:eastAsia="Times New Roman"/>
          <w:color w:val="auto"/>
        </w:rPr>
        <w:t xml:space="preserve">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04D9A07D" w14:textId="77777777" w:rsidR="005306BD" w:rsidRPr="00AB4736" w:rsidRDefault="005306BD" w:rsidP="00A51FB3">
      <w:pPr>
        <w:pStyle w:val="SectionBody"/>
        <w:rPr>
          <w:rFonts w:eastAsia="Times New Roman"/>
          <w:color w:val="auto"/>
        </w:rPr>
      </w:pPr>
      <w:r w:rsidRPr="00AB4736">
        <w:rPr>
          <w:rFonts w:eastAsia="Times New Roman"/>
          <w:color w:val="auto"/>
        </w:rPr>
        <w:t xml:space="preserve">(g) </w:t>
      </w:r>
      <w:r w:rsidRPr="00AB4736">
        <w:rPr>
          <w:rFonts w:eastAsia="Times New Roman"/>
          <w:i/>
          <w:color w:val="auto"/>
        </w:rPr>
        <w:t>Transferrable credit available to non-profit corporations</w:t>
      </w:r>
      <w:r w:rsidRPr="00AB4736">
        <w:rPr>
          <w:rFonts w:eastAsia="Times New Roman"/>
          <w:color w:val="auto"/>
        </w:rPr>
        <w:t xml:space="preserve">.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§11-24-44(b), </w:t>
      </w:r>
      <w:bookmarkStart w:id="84" w:name="_Hlk97580953"/>
      <w:r w:rsidRPr="00AB4736">
        <w:rPr>
          <w:rFonts w:eastAsia="Times New Roman"/>
          <w:color w:val="auto"/>
        </w:rPr>
        <w:t>§11-24-44(c)</w:t>
      </w:r>
      <w:bookmarkEnd w:id="84"/>
      <w:r w:rsidRPr="00AB4736">
        <w:rPr>
          <w:rFonts w:eastAsia="Times New Roman"/>
          <w:color w:val="auto"/>
        </w:rPr>
        <w:t>, §11-24-44(e), and §11-24-44(f) of this code.</w:t>
      </w:r>
    </w:p>
    <w:p w14:paraId="2BEE8FB6" w14:textId="77777777" w:rsidR="005306BD" w:rsidRPr="00AB4736" w:rsidRDefault="005306BD" w:rsidP="00A51FB3">
      <w:pPr>
        <w:pStyle w:val="SectionBody"/>
        <w:rPr>
          <w:rFonts w:eastAsia="Times New Roman"/>
          <w:color w:val="auto"/>
        </w:rPr>
      </w:pPr>
      <w:bookmarkStart w:id="85" w:name="48-7-40.6(g)"/>
      <w:bookmarkEnd w:id="85"/>
      <w:r w:rsidRPr="00AB4736">
        <w:rPr>
          <w:rFonts w:eastAsia="Times New Roman"/>
          <w:color w:val="auto"/>
        </w:rPr>
        <w:t xml:space="preserve">(h) </w:t>
      </w:r>
      <w:r w:rsidRPr="00AB4736">
        <w:rPr>
          <w:rFonts w:eastAsia="Times New Roman"/>
          <w:i/>
          <w:color w:val="auto"/>
        </w:rPr>
        <w:t>Rules</w:t>
      </w:r>
      <w:r w:rsidRPr="00AB4736">
        <w:rPr>
          <w:rFonts w:eastAsia="Times New Roman"/>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09B175C1" w14:textId="77777777" w:rsidR="005306BD" w:rsidRPr="00AB4736" w:rsidRDefault="005306BD" w:rsidP="0033761E">
      <w:pPr>
        <w:pStyle w:val="SectionBody"/>
        <w:suppressLineNumbers/>
        <w:rPr>
          <w:color w:val="auto"/>
        </w:rPr>
      </w:pPr>
    </w:p>
    <w:p w14:paraId="0FD03214" w14:textId="445F1D23" w:rsidR="0033761E" w:rsidRPr="00AB4736" w:rsidRDefault="0033761E" w:rsidP="00F40E0E">
      <w:pPr>
        <w:pStyle w:val="SectionBody"/>
        <w:suppressLineNumbers/>
        <w:spacing w:line="240" w:lineRule="auto"/>
        <w:ind w:left="1440" w:right="1440" w:firstLine="0"/>
        <w:rPr>
          <w:color w:val="auto"/>
          <w:sz w:val="20"/>
          <w:szCs w:val="20"/>
        </w:rPr>
      </w:pPr>
      <w:r w:rsidRPr="00AB4736">
        <w:rPr>
          <w:color w:val="auto"/>
          <w:sz w:val="20"/>
          <w:szCs w:val="20"/>
        </w:rPr>
        <w:t xml:space="preserve">NOTE: The purpose of this bill is to provide a tax credit to for-profit and nonprofit corporations to encourage the establishment of childcare facilities for the benefit of their employees. The credit for for-profit corporations would be taken against the corporate net income tax. The credit for nonprofit corporations would apply to payroll withholdings and would allow the nonprofit to recoup costs associated with employer-provided </w:t>
      </w:r>
      <w:r w:rsidR="00F40E0E" w:rsidRPr="00AB4736">
        <w:rPr>
          <w:color w:val="auto"/>
          <w:sz w:val="20"/>
          <w:szCs w:val="20"/>
        </w:rPr>
        <w:t>childcare</w:t>
      </w:r>
      <w:r w:rsidRPr="00AB4736">
        <w:rPr>
          <w:color w:val="auto"/>
          <w:sz w:val="20"/>
          <w:szCs w:val="20"/>
        </w:rPr>
        <w:t xml:space="preserve"> by keeping a certain percentage of employee personal income tax withholdings that would otherwise be remitted to the State Tax Department.</w:t>
      </w:r>
    </w:p>
    <w:p w14:paraId="3FD253FB" w14:textId="77777777" w:rsidR="0033761E" w:rsidRPr="00AB4736" w:rsidRDefault="0033761E" w:rsidP="0033761E">
      <w:pPr>
        <w:pStyle w:val="SectionBody"/>
        <w:suppressLineNumbers/>
        <w:spacing w:line="240" w:lineRule="auto"/>
        <w:ind w:left="1440" w:right="1440"/>
        <w:rPr>
          <w:color w:val="auto"/>
          <w:sz w:val="20"/>
          <w:szCs w:val="20"/>
        </w:rPr>
      </w:pPr>
    </w:p>
    <w:p w14:paraId="411DEEE0" w14:textId="77777777" w:rsidR="0033761E" w:rsidRPr="00AB4736" w:rsidRDefault="0033761E" w:rsidP="00F40E0E">
      <w:pPr>
        <w:pStyle w:val="SectionBody"/>
        <w:suppressLineNumbers/>
        <w:spacing w:line="240" w:lineRule="auto"/>
        <w:ind w:left="1440" w:right="1440" w:firstLine="0"/>
        <w:rPr>
          <w:color w:val="auto"/>
          <w:sz w:val="20"/>
          <w:szCs w:val="20"/>
        </w:rPr>
      </w:pPr>
      <w:r w:rsidRPr="00AB4736">
        <w:rPr>
          <w:color w:val="auto"/>
          <w:sz w:val="20"/>
          <w:szCs w:val="20"/>
        </w:rPr>
        <w:t>Strike-throughs indicate language that would be stricken from a heading or the present law, and underscoring indicates new language that would be added.</w:t>
      </w:r>
    </w:p>
    <w:p w14:paraId="14586C60" w14:textId="7D53A992" w:rsidR="006865E9" w:rsidRPr="00AB4736" w:rsidRDefault="006865E9" w:rsidP="0033761E">
      <w:pPr>
        <w:pStyle w:val="SectionBody"/>
        <w:suppressLineNumbers/>
        <w:rPr>
          <w:color w:val="auto"/>
        </w:rPr>
      </w:pPr>
    </w:p>
    <w:sectPr w:rsidR="006865E9" w:rsidRPr="00AB4736" w:rsidSect="005306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ACB1" w14:textId="77777777" w:rsidR="0033761E" w:rsidRPr="00B844FE" w:rsidRDefault="0033761E" w:rsidP="00B844FE">
      <w:r>
        <w:separator/>
      </w:r>
    </w:p>
  </w:endnote>
  <w:endnote w:type="continuationSeparator" w:id="0">
    <w:p w14:paraId="6F2DF405" w14:textId="77777777" w:rsidR="0033761E" w:rsidRPr="00B844FE" w:rsidRDefault="003376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5C96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F6E1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58CA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77199"/>
      <w:docPartObj>
        <w:docPartGallery w:val="Page Numbers (Bottom of Page)"/>
        <w:docPartUnique/>
      </w:docPartObj>
    </w:sdtPr>
    <w:sdtEndPr/>
    <w:sdtContent>
      <w:p w14:paraId="38EE13C8" w14:textId="77777777" w:rsidR="0033761E" w:rsidRPr="00B844FE" w:rsidRDefault="003376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79AA36" w14:textId="77777777" w:rsidR="0033761E" w:rsidRDefault="0033761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7331"/>
      <w:docPartObj>
        <w:docPartGallery w:val="Page Numbers (Bottom of Page)"/>
        <w:docPartUnique/>
      </w:docPartObj>
    </w:sdtPr>
    <w:sdtEndPr>
      <w:rPr>
        <w:noProof/>
      </w:rPr>
    </w:sdtEndPr>
    <w:sdtContent>
      <w:p w14:paraId="33FE92E5" w14:textId="77777777" w:rsidR="0033761E" w:rsidRDefault="00337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629CA" w14:textId="77777777" w:rsidR="0033761E" w:rsidRDefault="003376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4FCF" w14:textId="77777777" w:rsidR="0033761E" w:rsidRPr="00B844FE" w:rsidRDefault="0033761E" w:rsidP="00B844FE">
      <w:r>
        <w:separator/>
      </w:r>
    </w:p>
  </w:footnote>
  <w:footnote w:type="continuationSeparator" w:id="0">
    <w:p w14:paraId="6738D367" w14:textId="77777777" w:rsidR="0033761E" w:rsidRPr="00B844FE" w:rsidRDefault="003376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0D" w14:textId="77777777" w:rsidR="002A0269" w:rsidRPr="00B844FE" w:rsidRDefault="00FD366E">
    <w:pPr>
      <w:pStyle w:val="Header"/>
    </w:pPr>
    <w:sdt>
      <w:sdtPr>
        <w:id w:val="-684364211"/>
        <w:placeholder>
          <w:docPart w:val="EA093801DE634BD9B6C90325C93921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A093801DE634BD9B6C90325C93921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EFA" w14:textId="5F85FB8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40E0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0E0E">
          <w:rPr>
            <w:sz w:val="22"/>
            <w:szCs w:val="22"/>
          </w:rPr>
          <w:t>2023R3335</w:t>
        </w:r>
      </w:sdtContent>
    </w:sdt>
  </w:p>
  <w:p w14:paraId="21A6CC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EE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BE82" w14:textId="77777777" w:rsidR="0033761E" w:rsidRPr="00B844FE" w:rsidRDefault="00FD366E">
    <w:pPr>
      <w:pStyle w:val="Header"/>
    </w:pPr>
    <w:sdt>
      <w:sdtPr>
        <w:id w:val="-1747487018"/>
        <w:placeholder>
          <w:docPart w:val="EA093801DE634BD9B6C90325C9392151"/>
        </w:placeholder>
        <w:temporary/>
        <w:showingPlcHdr/>
        <w15:appearance w15:val="hidden"/>
      </w:sdtPr>
      <w:sdtEndPr/>
      <w:sdtContent>
        <w:r w:rsidR="0033761E" w:rsidRPr="00B844FE">
          <w:t>[Type here]</w:t>
        </w:r>
      </w:sdtContent>
    </w:sdt>
    <w:r w:rsidR="0033761E" w:rsidRPr="00B844FE">
      <w:ptab w:relativeTo="margin" w:alignment="left" w:leader="none"/>
    </w:r>
    <w:sdt>
      <w:sdtPr>
        <w:id w:val="1420212195"/>
        <w:placeholder>
          <w:docPart w:val="EA093801DE634BD9B6C90325C9392151"/>
        </w:placeholder>
        <w:temporary/>
        <w:showingPlcHdr/>
        <w15:appearance w15:val="hidden"/>
      </w:sdtPr>
      <w:sdtEndPr/>
      <w:sdtContent>
        <w:r w:rsidR="0033761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9006" w14:textId="2BACC1EB" w:rsidR="0033761E" w:rsidRPr="00686E9A" w:rsidRDefault="0033761E" w:rsidP="001D79B1">
    <w:pPr>
      <w:pStyle w:val="HeaderStyle"/>
      <w:rPr>
        <w:sz w:val="22"/>
        <w:szCs w:val="22"/>
      </w:rPr>
    </w:pPr>
    <w:r w:rsidRPr="00686E9A">
      <w:rPr>
        <w:sz w:val="22"/>
        <w:szCs w:val="22"/>
      </w:rPr>
      <w:t xml:space="preserve">Intr </w:t>
    </w:r>
    <w:sdt>
      <w:sdtPr>
        <w:rPr>
          <w:sz w:val="22"/>
          <w:szCs w:val="22"/>
        </w:rPr>
        <w:tag w:val="BNumWH"/>
        <w:id w:val="-429279351"/>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2011326534"/>
        <w:text/>
      </w:sdtPr>
      <w:sdtEndPr/>
      <w:sdtContent>
        <w:r>
          <w:rPr>
            <w:sz w:val="22"/>
            <w:szCs w:val="22"/>
          </w:rPr>
          <w:t>202</w:t>
        </w:r>
      </w:sdtContent>
    </w:sdt>
    <w:r w:rsidR="00F40E0E">
      <w:rPr>
        <w:sz w:val="22"/>
        <w:szCs w:val="22"/>
      </w:rPr>
      <w:t>3R3335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0C8E" w14:textId="77777777" w:rsidR="0033761E" w:rsidRPr="004D3ABE" w:rsidRDefault="0033761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4186236">
    <w:abstractNumId w:val="0"/>
  </w:num>
  <w:num w:numId="2" w16cid:durableId="11985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1E"/>
    <w:rsid w:val="0000526A"/>
    <w:rsid w:val="000573A9"/>
    <w:rsid w:val="00085D22"/>
    <w:rsid w:val="00093AB0"/>
    <w:rsid w:val="000C5C77"/>
    <w:rsid w:val="000E3912"/>
    <w:rsid w:val="0010070F"/>
    <w:rsid w:val="001010F7"/>
    <w:rsid w:val="0015112E"/>
    <w:rsid w:val="001552E7"/>
    <w:rsid w:val="001566B4"/>
    <w:rsid w:val="001A66B7"/>
    <w:rsid w:val="001C279E"/>
    <w:rsid w:val="001D459E"/>
    <w:rsid w:val="0022348D"/>
    <w:rsid w:val="00251605"/>
    <w:rsid w:val="0027011C"/>
    <w:rsid w:val="00274200"/>
    <w:rsid w:val="00275740"/>
    <w:rsid w:val="002A0269"/>
    <w:rsid w:val="00303684"/>
    <w:rsid w:val="00307ABC"/>
    <w:rsid w:val="003143F5"/>
    <w:rsid w:val="00314854"/>
    <w:rsid w:val="0033761E"/>
    <w:rsid w:val="00394191"/>
    <w:rsid w:val="003C51CD"/>
    <w:rsid w:val="003C6034"/>
    <w:rsid w:val="00400B5C"/>
    <w:rsid w:val="004278B3"/>
    <w:rsid w:val="004368E0"/>
    <w:rsid w:val="004C13DD"/>
    <w:rsid w:val="004D3ABE"/>
    <w:rsid w:val="004E3441"/>
    <w:rsid w:val="00500579"/>
    <w:rsid w:val="00507749"/>
    <w:rsid w:val="005306BD"/>
    <w:rsid w:val="00570AB4"/>
    <w:rsid w:val="005A5366"/>
    <w:rsid w:val="005B5BF2"/>
    <w:rsid w:val="005B7102"/>
    <w:rsid w:val="005D7CAF"/>
    <w:rsid w:val="006369EB"/>
    <w:rsid w:val="00637E73"/>
    <w:rsid w:val="006865E9"/>
    <w:rsid w:val="00686E9A"/>
    <w:rsid w:val="00690854"/>
    <w:rsid w:val="00691F3E"/>
    <w:rsid w:val="00694BFB"/>
    <w:rsid w:val="006A106B"/>
    <w:rsid w:val="006B31CE"/>
    <w:rsid w:val="006C523D"/>
    <w:rsid w:val="006D4036"/>
    <w:rsid w:val="007A5259"/>
    <w:rsid w:val="007A7081"/>
    <w:rsid w:val="007F1CF5"/>
    <w:rsid w:val="00820590"/>
    <w:rsid w:val="00834EDE"/>
    <w:rsid w:val="008736AA"/>
    <w:rsid w:val="008D275D"/>
    <w:rsid w:val="00980327"/>
    <w:rsid w:val="00986478"/>
    <w:rsid w:val="009B5557"/>
    <w:rsid w:val="009F1067"/>
    <w:rsid w:val="00A31E01"/>
    <w:rsid w:val="00A527AD"/>
    <w:rsid w:val="00A718CF"/>
    <w:rsid w:val="00AB4736"/>
    <w:rsid w:val="00AE48A0"/>
    <w:rsid w:val="00AE61BE"/>
    <w:rsid w:val="00B16F25"/>
    <w:rsid w:val="00B24422"/>
    <w:rsid w:val="00B57BA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2AD0"/>
    <w:rsid w:val="00D579FC"/>
    <w:rsid w:val="00D81C16"/>
    <w:rsid w:val="00DE2DF3"/>
    <w:rsid w:val="00DE526B"/>
    <w:rsid w:val="00DF199D"/>
    <w:rsid w:val="00E01542"/>
    <w:rsid w:val="00E365F1"/>
    <w:rsid w:val="00E62F48"/>
    <w:rsid w:val="00E831B3"/>
    <w:rsid w:val="00E95FBC"/>
    <w:rsid w:val="00EA0EE9"/>
    <w:rsid w:val="00EA530D"/>
    <w:rsid w:val="00EC5E63"/>
    <w:rsid w:val="00EE70CB"/>
    <w:rsid w:val="00F40E0E"/>
    <w:rsid w:val="00F41CA2"/>
    <w:rsid w:val="00F443C0"/>
    <w:rsid w:val="00F62EFB"/>
    <w:rsid w:val="00F939A4"/>
    <w:rsid w:val="00FA7B09"/>
    <w:rsid w:val="00FD366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BB07"/>
  <w15:chartTrackingRefBased/>
  <w15:docId w15:val="{2150B1AD-A72C-40C3-A22A-9C58E381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33761E"/>
    <w:rPr>
      <w:sz w:val="16"/>
      <w:szCs w:val="16"/>
    </w:rPr>
  </w:style>
  <w:style w:type="paragraph" w:styleId="CommentText">
    <w:name w:val="annotation text"/>
    <w:basedOn w:val="Normal"/>
    <w:link w:val="CommentTextChar"/>
    <w:uiPriority w:val="99"/>
    <w:semiHidden/>
    <w:locked/>
    <w:rsid w:val="0033761E"/>
    <w:pPr>
      <w:spacing w:line="240" w:lineRule="auto"/>
    </w:pPr>
    <w:rPr>
      <w:sz w:val="20"/>
      <w:szCs w:val="20"/>
    </w:rPr>
  </w:style>
  <w:style w:type="character" w:customStyle="1" w:styleId="CommentTextChar">
    <w:name w:val="Comment Text Char"/>
    <w:basedOn w:val="DefaultParagraphFont"/>
    <w:link w:val="CommentText"/>
    <w:uiPriority w:val="99"/>
    <w:semiHidden/>
    <w:rsid w:val="003376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DC93921B2496791B49791801E6228"/>
        <w:category>
          <w:name w:val="General"/>
          <w:gallery w:val="placeholder"/>
        </w:category>
        <w:types>
          <w:type w:val="bbPlcHdr"/>
        </w:types>
        <w:behaviors>
          <w:behavior w:val="content"/>
        </w:behaviors>
        <w:guid w:val="{DE17D029-E1F6-4254-8BD9-2B7411CB7888}"/>
      </w:docPartPr>
      <w:docPartBody>
        <w:p w:rsidR="00F33D73" w:rsidRDefault="00F33D73">
          <w:pPr>
            <w:pStyle w:val="01FDC93921B2496791B49791801E6228"/>
          </w:pPr>
          <w:r w:rsidRPr="00B844FE">
            <w:t>Prefix Text</w:t>
          </w:r>
        </w:p>
      </w:docPartBody>
    </w:docPart>
    <w:docPart>
      <w:docPartPr>
        <w:name w:val="EA093801DE634BD9B6C90325C9392151"/>
        <w:category>
          <w:name w:val="General"/>
          <w:gallery w:val="placeholder"/>
        </w:category>
        <w:types>
          <w:type w:val="bbPlcHdr"/>
        </w:types>
        <w:behaviors>
          <w:behavior w:val="content"/>
        </w:behaviors>
        <w:guid w:val="{0A6F8F90-2817-4C4C-A671-A1B5031F983D}"/>
      </w:docPartPr>
      <w:docPartBody>
        <w:p w:rsidR="00F33D73" w:rsidRDefault="00F33D73">
          <w:pPr>
            <w:pStyle w:val="EA093801DE634BD9B6C90325C9392151"/>
          </w:pPr>
          <w:r w:rsidRPr="00B844FE">
            <w:t>[Type here]</w:t>
          </w:r>
        </w:p>
      </w:docPartBody>
    </w:docPart>
    <w:docPart>
      <w:docPartPr>
        <w:name w:val="653BBB57EBD14EF09074E805B2467467"/>
        <w:category>
          <w:name w:val="General"/>
          <w:gallery w:val="placeholder"/>
        </w:category>
        <w:types>
          <w:type w:val="bbPlcHdr"/>
        </w:types>
        <w:behaviors>
          <w:behavior w:val="content"/>
        </w:behaviors>
        <w:guid w:val="{B71E29D7-F5DB-4F2A-B1DD-029C8AC74332}"/>
      </w:docPartPr>
      <w:docPartBody>
        <w:p w:rsidR="00F33D73" w:rsidRDefault="00F33D73">
          <w:pPr>
            <w:pStyle w:val="653BBB57EBD14EF09074E805B2467467"/>
          </w:pPr>
          <w:r w:rsidRPr="00B844FE">
            <w:t>Number</w:t>
          </w:r>
        </w:p>
      </w:docPartBody>
    </w:docPart>
    <w:docPart>
      <w:docPartPr>
        <w:name w:val="B78E84167D4646C5905055102D5AE6A8"/>
        <w:category>
          <w:name w:val="General"/>
          <w:gallery w:val="placeholder"/>
        </w:category>
        <w:types>
          <w:type w:val="bbPlcHdr"/>
        </w:types>
        <w:behaviors>
          <w:behavior w:val="content"/>
        </w:behaviors>
        <w:guid w:val="{D017AFD3-2BD1-4FA4-8C66-8A78672F8A08}"/>
      </w:docPartPr>
      <w:docPartBody>
        <w:p w:rsidR="00F33D73" w:rsidRDefault="00F33D73">
          <w:pPr>
            <w:pStyle w:val="B78E84167D4646C5905055102D5AE6A8"/>
          </w:pPr>
          <w:r w:rsidRPr="00B844FE">
            <w:t>Enter Sponsors Here</w:t>
          </w:r>
        </w:p>
      </w:docPartBody>
    </w:docPart>
    <w:docPart>
      <w:docPartPr>
        <w:name w:val="B7F33720D2A24B9D88E9127F48B3AA61"/>
        <w:category>
          <w:name w:val="General"/>
          <w:gallery w:val="placeholder"/>
        </w:category>
        <w:types>
          <w:type w:val="bbPlcHdr"/>
        </w:types>
        <w:behaviors>
          <w:behavior w:val="content"/>
        </w:behaviors>
        <w:guid w:val="{ED0791A2-73D5-4852-91F8-71927C31736A}"/>
      </w:docPartPr>
      <w:docPartBody>
        <w:p w:rsidR="00F33D73" w:rsidRDefault="00F33D73">
          <w:pPr>
            <w:pStyle w:val="B7F33720D2A24B9D88E9127F48B3AA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73"/>
    <w:rsid w:val="00F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DC93921B2496791B49791801E6228">
    <w:name w:val="01FDC93921B2496791B49791801E6228"/>
  </w:style>
  <w:style w:type="paragraph" w:customStyle="1" w:styleId="EA093801DE634BD9B6C90325C9392151">
    <w:name w:val="EA093801DE634BD9B6C90325C9392151"/>
  </w:style>
  <w:style w:type="paragraph" w:customStyle="1" w:styleId="653BBB57EBD14EF09074E805B2467467">
    <w:name w:val="653BBB57EBD14EF09074E805B2467467"/>
  </w:style>
  <w:style w:type="paragraph" w:customStyle="1" w:styleId="B78E84167D4646C5905055102D5AE6A8">
    <w:name w:val="B78E84167D4646C5905055102D5AE6A8"/>
  </w:style>
  <w:style w:type="character" w:styleId="PlaceholderText">
    <w:name w:val="Placeholder Text"/>
    <w:basedOn w:val="DefaultParagraphFont"/>
    <w:uiPriority w:val="99"/>
    <w:semiHidden/>
    <w:rPr>
      <w:color w:val="808080"/>
    </w:rPr>
  </w:style>
  <w:style w:type="paragraph" w:customStyle="1" w:styleId="B7F33720D2A24B9D88E9127F48B3AA61">
    <w:name w:val="B7F33720D2A24B9D88E9127F48B3A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dcterms:created xsi:type="dcterms:W3CDTF">2023-02-02T15:01:00Z</dcterms:created>
  <dcterms:modified xsi:type="dcterms:W3CDTF">2023-02-02T15:01:00Z</dcterms:modified>
</cp:coreProperties>
</file>